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A809C" w14:textId="401CF2DC" w:rsidR="00373004" w:rsidRPr="00623957" w:rsidRDefault="00373004" w:rsidP="00373004">
      <w:pPr>
        <w:spacing w:before="240" w:after="240" w:line="360" w:lineRule="auto"/>
        <w:jc w:val="both"/>
        <w:rPr>
          <w:rFonts w:ascii="Palatino Linotype" w:hAnsi="Palatino Linotype" w:cs="Arial"/>
        </w:rPr>
      </w:pPr>
      <w:bookmarkStart w:id="0" w:name="_GoBack"/>
      <w:bookmarkEnd w:id="0"/>
      <w:r w:rsidRPr="00623957">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623957">
        <w:rPr>
          <w:rStyle w:val="normaltextrun"/>
          <w:rFonts w:ascii="Palatino Linotype" w:hAnsi="Palatino Linotype" w:cs="Arial"/>
        </w:rPr>
        <w:t>,</w:t>
      </w:r>
      <w:r w:rsidR="006F1D2A">
        <w:rPr>
          <w:rStyle w:val="apple-converted-space"/>
          <w:rFonts w:ascii="Palatino Linotype" w:hAnsi="Palatino Linotype" w:cs="Arial"/>
        </w:rPr>
        <w:t xml:space="preserve"> de fecha </w:t>
      </w:r>
      <w:r w:rsidR="00974E0D">
        <w:rPr>
          <w:rStyle w:val="normaltextrun"/>
          <w:rFonts w:ascii="Palatino Linotype" w:hAnsi="Palatino Linotype" w:cs="Arial"/>
        </w:rPr>
        <w:t>ocho</w:t>
      </w:r>
      <w:r w:rsidR="00A64FD5">
        <w:rPr>
          <w:rStyle w:val="normaltextrun"/>
          <w:rFonts w:ascii="Palatino Linotype" w:hAnsi="Palatino Linotype" w:cs="Arial"/>
        </w:rPr>
        <w:t xml:space="preserve"> </w:t>
      </w:r>
      <w:r w:rsidRPr="00623957">
        <w:rPr>
          <w:rStyle w:val="normaltextrun"/>
          <w:rFonts w:ascii="Palatino Linotype" w:hAnsi="Palatino Linotype" w:cs="Arial"/>
        </w:rPr>
        <w:t>de</w:t>
      </w:r>
      <w:r w:rsidR="006F1D2A">
        <w:rPr>
          <w:rStyle w:val="apple-converted-space"/>
          <w:rFonts w:ascii="Palatino Linotype" w:hAnsi="Palatino Linotype" w:cs="Arial"/>
        </w:rPr>
        <w:t xml:space="preserve"> </w:t>
      </w:r>
      <w:r w:rsidR="00DA7ADC">
        <w:rPr>
          <w:rStyle w:val="normaltextrun"/>
          <w:rFonts w:ascii="Palatino Linotype" w:hAnsi="Palatino Linotype" w:cs="Arial"/>
        </w:rPr>
        <w:t>agosto</w:t>
      </w:r>
      <w:r w:rsidRPr="00623957">
        <w:rPr>
          <w:rStyle w:val="normaltextrun"/>
          <w:rFonts w:ascii="Palatino Linotype" w:hAnsi="Palatino Linotype" w:cs="Arial"/>
        </w:rPr>
        <w:t xml:space="preserve"> de dos mil </w:t>
      </w:r>
      <w:r w:rsidR="00251B17">
        <w:rPr>
          <w:rStyle w:val="normaltextrun"/>
          <w:rFonts w:ascii="Palatino Linotype" w:hAnsi="Palatino Linotype" w:cs="Arial"/>
        </w:rPr>
        <w:t>dieciocho</w:t>
      </w:r>
      <w:r w:rsidRPr="00623957">
        <w:rPr>
          <w:rStyle w:val="normaltextrun"/>
          <w:rFonts w:ascii="Palatino Linotype" w:hAnsi="Palatino Linotype" w:cs="Arial"/>
        </w:rPr>
        <w:t>.</w:t>
      </w:r>
    </w:p>
    <w:p w14:paraId="6F849665" w14:textId="531D8FC8" w:rsidR="00373004" w:rsidRPr="00623957" w:rsidRDefault="00373004" w:rsidP="00373004">
      <w:pPr>
        <w:spacing w:before="240" w:after="240" w:line="360" w:lineRule="auto"/>
        <w:jc w:val="both"/>
        <w:rPr>
          <w:rFonts w:ascii="Palatino Linotype" w:hAnsi="Palatino Linotype" w:cs="Arial"/>
        </w:rPr>
      </w:pPr>
      <w:r w:rsidRPr="00623957">
        <w:rPr>
          <w:rFonts w:ascii="Palatino Linotype" w:hAnsi="Palatino Linotype" w:cs="Arial"/>
          <w:b/>
        </w:rPr>
        <w:t>Visto</w:t>
      </w:r>
      <w:r w:rsidR="004C33BE">
        <w:rPr>
          <w:rFonts w:ascii="Palatino Linotype" w:hAnsi="Palatino Linotype" w:cs="Arial"/>
          <w:b/>
        </w:rPr>
        <w:t>s</w:t>
      </w:r>
      <w:r w:rsidR="004C33BE">
        <w:rPr>
          <w:rFonts w:ascii="Palatino Linotype" w:hAnsi="Palatino Linotype" w:cs="Arial"/>
        </w:rPr>
        <w:t xml:space="preserve"> los</w:t>
      </w:r>
      <w:r w:rsidRPr="00623957">
        <w:rPr>
          <w:rFonts w:ascii="Palatino Linotype" w:hAnsi="Palatino Linotype" w:cs="Arial"/>
        </w:rPr>
        <w:t xml:space="preserve"> expediente</w:t>
      </w:r>
      <w:r w:rsidR="004C33BE">
        <w:rPr>
          <w:rFonts w:ascii="Palatino Linotype" w:hAnsi="Palatino Linotype" w:cs="Arial"/>
        </w:rPr>
        <w:t>s</w:t>
      </w:r>
      <w:r w:rsidRPr="00623957">
        <w:rPr>
          <w:rFonts w:ascii="Palatino Linotype" w:hAnsi="Palatino Linotype" w:cs="Arial"/>
        </w:rPr>
        <w:t xml:space="preserve"> relativo</w:t>
      </w:r>
      <w:r w:rsidR="004C33BE">
        <w:rPr>
          <w:rFonts w:ascii="Palatino Linotype" w:hAnsi="Palatino Linotype" w:cs="Arial"/>
        </w:rPr>
        <w:t>s</w:t>
      </w:r>
      <w:r w:rsidRPr="00623957">
        <w:rPr>
          <w:rFonts w:ascii="Palatino Linotype" w:hAnsi="Palatino Linotype" w:cs="Arial"/>
        </w:rPr>
        <w:t xml:space="preserve"> a</w:t>
      </w:r>
      <w:r w:rsidR="004C33BE">
        <w:rPr>
          <w:rFonts w:ascii="Palatino Linotype" w:hAnsi="Palatino Linotype" w:cs="Arial"/>
        </w:rPr>
        <w:t xml:space="preserve"> </w:t>
      </w:r>
      <w:r w:rsidRPr="00623957">
        <w:rPr>
          <w:rFonts w:ascii="Palatino Linotype" w:hAnsi="Palatino Linotype" w:cs="Arial"/>
        </w:rPr>
        <w:t>l</w:t>
      </w:r>
      <w:r w:rsidR="004C33BE">
        <w:rPr>
          <w:rFonts w:ascii="Palatino Linotype" w:hAnsi="Palatino Linotype" w:cs="Arial"/>
        </w:rPr>
        <w:t>os</w:t>
      </w:r>
      <w:r w:rsidRPr="00623957">
        <w:rPr>
          <w:rFonts w:ascii="Palatino Linotype" w:hAnsi="Palatino Linotype" w:cs="Arial"/>
        </w:rPr>
        <w:t xml:space="preserve"> recurso</w:t>
      </w:r>
      <w:r w:rsidR="004C33BE">
        <w:rPr>
          <w:rFonts w:ascii="Palatino Linotype" w:hAnsi="Palatino Linotype" w:cs="Arial"/>
        </w:rPr>
        <w:t>s</w:t>
      </w:r>
      <w:r w:rsidRPr="00623957">
        <w:rPr>
          <w:rFonts w:ascii="Palatino Linotype" w:hAnsi="Palatino Linotype" w:cs="Arial"/>
        </w:rPr>
        <w:t xml:space="preserve"> de revisión </w:t>
      </w:r>
      <w:r w:rsidR="00974E0D">
        <w:rPr>
          <w:rFonts w:ascii="Palatino Linotype" w:hAnsi="Palatino Linotype" w:cs="Arial"/>
          <w:b/>
          <w:bCs/>
          <w:sz w:val="23"/>
          <w:szCs w:val="23"/>
        </w:rPr>
        <w:t>02179</w:t>
      </w:r>
      <w:r w:rsidR="006275DD" w:rsidRPr="00DA2E8A">
        <w:rPr>
          <w:rFonts w:ascii="Palatino Linotype" w:hAnsi="Palatino Linotype" w:cs="Arial"/>
          <w:b/>
          <w:bCs/>
          <w:sz w:val="23"/>
          <w:szCs w:val="23"/>
        </w:rPr>
        <w:t>/INFOEM/IP/RR/201</w:t>
      </w:r>
      <w:r w:rsidR="006F1D2A" w:rsidRPr="00DA2E8A">
        <w:rPr>
          <w:rFonts w:ascii="Palatino Linotype" w:hAnsi="Palatino Linotype" w:cs="Arial"/>
          <w:b/>
          <w:bCs/>
          <w:sz w:val="23"/>
          <w:szCs w:val="23"/>
        </w:rPr>
        <w:t xml:space="preserve">8, </w:t>
      </w:r>
      <w:r w:rsidR="00974E0D">
        <w:rPr>
          <w:rFonts w:ascii="Palatino Linotype" w:hAnsi="Palatino Linotype" w:cs="Arial"/>
          <w:b/>
          <w:bCs/>
          <w:sz w:val="23"/>
          <w:szCs w:val="23"/>
        </w:rPr>
        <w:t>02190</w:t>
      </w:r>
      <w:r w:rsidR="006275DD" w:rsidRPr="00DA2E8A">
        <w:rPr>
          <w:rFonts w:ascii="Palatino Linotype" w:hAnsi="Palatino Linotype" w:cs="Arial"/>
          <w:b/>
          <w:bCs/>
          <w:sz w:val="23"/>
          <w:szCs w:val="23"/>
        </w:rPr>
        <w:t>/INFOEM/IP/RR/201</w:t>
      </w:r>
      <w:r w:rsidR="00974E0D">
        <w:rPr>
          <w:rFonts w:ascii="Palatino Linotype" w:hAnsi="Palatino Linotype" w:cs="Arial"/>
          <w:b/>
          <w:bCs/>
          <w:sz w:val="23"/>
          <w:szCs w:val="23"/>
        </w:rPr>
        <w:t>8 y</w:t>
      </w:r>
      <w:r w:rsidR="006F1D2A" w:rsidRPr="00DA2E8A">
        <w:rPr>
          <w:rFonts w:ascii="Palatino Linotype" w:hAnsi="Palatino Linotype" w:cs="Arial"/>
          <w:b/>
          <w:bCs/>
          <w:sz w:val="23"/>
          <w:szCs w:val="23"/>
        </w:rPr>
        <w:t xml:space="preserve"> </w:t>
      </w:r>
      <w:r w:rsidR="00974E0D">
        <w:rPr>
          <w:rFonts w:ascii="Palatino Linotype" w:hAnsi="Palatino Linotype" w:cs="Arial"/>
          <w:b/>
          <w:bCs/>
          <w:sz w:val="23"/>
          <w:szCs w:val="23"/>
        </w:rPr>
        <w:t>02315</w:t>
      </w:r>
      <w:r w:rsidR="00D303BD" w:rsidRPr="00DA2E8A">
        <w:rPr>
          <w:rFonts w:ascii="Palatino Linotype" w:hAnsi="Palatino Linotype" w:cs="Arial"/>
          <w:b/>
          <w:bCs/>
          <w:sz w:val="23"/>
          <w:szCs w:val="23"/>
        </w:rPr>
        <w:t>/INFOEM/IP</w:t>
      </w:r>
      <w:r w:rsidR="004515B0" w:rsidRPr="00DA2E8A">
        <w:rPr>
          <w:rFonts w:ascii="Palatino Linotype" w:hAnsi="Palatino Linotype" w:cs="Arial"/>
          <w:b/>
          <w:bCs/>
          <w:sz w:val="23"/>
          <w:szCs w:val="23"/>
        </w:rPr>
        <w:t>/RR/201</w:t>
      </w:r>
      <w:r w:rsidR="004C33BE" w:rsidRPr="00DA2E8A">
        <w:rPr>
          <w:rFonts w:ascii="Palatino Linotype" w:hAnsi="Palatino Linotype" w:cs="Arial"/>
          <w:b/>
          <w:bCs/>
          <w:sz w:val="23"/>
          <w:szCs w:val="23"/>
        </w:rPr>
        <w:t>8</w:t>
      </w:r>
      <w:r w:rsidR="00A809B7">
        <w:rPr>
          <w:rFonts w:ascii="Palatino Linotype" w:hAnsi="Palatino Linotype" w:cs="Arial"/>
          <w:b/>
          <w:bCs/>
          <w:sz w:val="23"/>
          <w:szCs w:val="23"/>
        </w:rPr>
        <w:t xml:space="preserve"> </w:t>
      </w:r>
      <w:r w:rsidR="00DA2E8A" w:rsidRPr="00DA2E8A">
        <w:rPr>
          <w:rFonts w:ascii="Palatino Linotype" w:hAnsi="Palatino Linotype" w:cs="Arial"/>
          <w:b/>
          <w:bCs/>
          <w:sz w:val="23"/>
          <w:szCs w:val="23"/>
        </w:rPr>
        <w:t>acumulados</w:t>
      </w:r>
      <w:r w:rsidRPr="00623957">
        <w:rPr>
          <w:rFonts w:ascii="Palatino Linotype" w:hAnsi="Palatino Linotype" w:cs="Arial"/>
        </w:rPr>
        <w:t>, interpuesto</w:t>
      </w:r>
      <w:r w:rsidR="004C33BE">
        <w:rPr>
          <w:rFonts w:ascii="Palatino Linotype" w:hAnsi="Palatino Linotype" w:cs="Arial"/>
        </w:rPr>
        <w:t>s</w:t>
      </w:r>
      <w:r w:rsidRPr="00623957">
        <w:rPr>
          <w:rFonts w:ascii="Palatino Linotype" w:hAnsi="Palatino Linotype" w:cs="Arial"/>
        </w:rPr>
        <w:t xml:space="preserve"> por </w:t>
      </w:r>
      <w:r w:rsidR="00BA7E4D">
        <w:rPr>
          <w:rFonts w:ascii="Palatino Linotype" w:hAnsi="Palatino Linotype" w:cs="Arial"/>
          <w:b/>
        </w:rPr>
        <w:t>Xxxxxxx Xxxxxxxx X,</w:t>
      </w:r>
      <w:r w:rsidRPr="00623957">
        <w:rPr>
          <w:rFonts w:ascii="Palatino Linotype" w:hAnsi="Palatino Linotype" w:cs="Arial"/>
        </w:rPr>
        <w:t xml:space="preserve"> en lo sucesivo </w:t>
      </w:r>
      <w:r w:rsidR="00974E0D">
        <w:rPr>
          <w:rFonts w:ascii="Palatino Linotype" w:hAnsi="Palatino Linotype" w:cs="Arial"/>
        </w:rPr>
        <w:t>el</w:t>
      </w:r>
      <w:r w:rsidRPr="00623957">
        <w:rPr>
          <w:rFonts w:ascii="Palatino Linotype" w:hAnsi="Palatino Linotype" w:cs="Arial"/>
        </w:rPr>
        <w:t xml:space="preserve"> </w:t>
      </w:r>
      <w:r w:rsidRPr="00623957">
        <w:rPr>
          <w:rFonts w:ascii="Palatino Linotype" w:hAnsi="Palatino Linotype" w:cs="Arial"/>
          <w:b/>
        </w:rPr>
        <w:t>recurrente</w:t>
      </w:r>
      <w:r w:rsidRPr="00623957">
        <w:rPr>
          <w:rFonts w:ascii="Palatino Linotype" w:hAnsi="Palatino Linotype" w:cs="Arial"/>
        </w:rPr>
        <w:t xml:space="preserve"> en </w:t>
      </w:r>
      <w:r w:rsidRPr="006F1D2A">
        <w:rPr>
          <w:rFonts w:ascii="Palatino Linotype" w:hAnsi="Palatino Linotype" w:cs="Arial"/>
        </w:rPr>
        <w:t>contra de la respuesta a su</w:t>
      </w:r>
      <w:r w:rsidR="004C33BE" w:rsidRPr="006F1D2A">
        <w:rPr>
          <w:rFonts w:ascii="Palatino Linotype" w:hAnsi="Palatino Linotype" w:cs="Arial"/>
        </w:rPr>
        <w:t>s</w:t>
      </w:r>
      <w:r w:rsidRPr="006F1D2A">
        <w:rPr>
          <w:rFonts w:ascii="Palatino Linotype" w:hAnsi="Palatino Linotype" w:cs="Arial"/>
        </w:rPr>
        <w:t xml:space="preserve"> solicitud</w:t>
      </w:r>
      <w:r w:rsidR="004C33BE" w:rsidRPr="006F1D2A">
        <w:rPr>
          <w:rFonts w:ascii="Palatino Linotype" w:hAnsi="Palatino Linotype" w:cs="Arial"/>
        </w:rPr>
        <w:t>es</w:t>
      </w:r>
      <w:r w:rsidRPr="006F1D2A">
        <w:rPr>
          <w:rFonts w:ascii="Palatino Linotype" w:hAnsi="Palatino Linotype" w:cs="Arial"/>
        </w:rPr>
        <w:t xml:space="preserve"> de información con </w:t>
      </w:r>
      <w:r w:rsidRPr="00623957">
        <w:rPr>
          <w:rFonts w:ascii="Palatino Linotype" w:hAnsi="Palatino Linotype" w:cs="Arial"/>
        </w:rPr>
        <w:t>número</w:t>
      </w:r>
      <w:r w:rsidR="004C33BE">
        <w:rPr>
          <w:rFonts w:ascii="Palatino Linotype" w:hAnsi="Palatino Linotype" w:cs="Arial"/>
        </w:rPr>
        <w:t>s</w:t>
      </w:r>
      <w:r w:rsidRPr="00623957">
        <w:rPr>
          <w:rFonts w:ascii="Palatino Linotype" w:hAnsi="Palatino Linotype" w:cs="Arial"/>
        </w:rPr>
        <w:t xml:space="preserve"> de folio</w:t>
      </w:r>
      <w:r w:rsidR="006F1D2A">
        <w:rPr>
          <w:rFonts w:ascii="Palatino Linotype" w:hAnsi="Palatino Linotype" w:cs="Arial"/>
        </w:rPr>
        <w:t xml:space="preserve"> </w:t>
      </w:r>
      <w:r w:rsidR="00974E0D">
        <w:rPr>
          <w:rFonts w:ascii="Palatino Linotype" w:hAnsi="Palatino Linotype"/>
          <w:b/>
          <w:lang w:val="es-ES_tradnl"/>
        </w:rPr>
        <w:t>00034</w:t>
      </w:r>
      <w:r w:rsidR="006F1D2A">
        <w:rPr>
          <w:rFonts w:ascii="Palatino Linotype" w:hAnsi="Palatino Linotype"/>
          <w:b/>
          <w:lang w:val="es-ES_tradnl"/>
        </w:rPr>
        <w:t>/</w:t>
      </w:r>
      <w:r w:rsidR="00974E0D">
        <w:rPr>
          <w:rFonts w:ascii="Palatino Linotype" w:hAnsi="Palatino Linotype"/>
          <w:b/>
          <w:lang w:val="es-ES_tradnl"/>
        </w:rPr>
        <w:t>MELOCAM</w:t>
      </w:r>
      <w:r w:rsidR="006F1D2A" w:rsidRPr="00F91D9E">
        <w:rPr>
          <w:rFonts w:ascii="Palatino Linotype" w:hAnsi="Palatino Linotype"/>
          <w:b/>
          <w:lang w:val="es-ES_tradnl"/>
        </w:rPr>
        <w:t>/IP/2018</w:t>
      </w:r>
      <w:r w:rsidR="006F1D2A">
        <w:rPr>
          <w:rFonts w:ascii="Palatino Linotype" w:hAnsi="Palatino Linotype"/>
          <w:b/>
          <w:lang w:val="es-ES_tradnl"/>
        </w:rPr>
        <w:t xml:space="preserve">, </w:t>
      </w:r>
      <w:r w:rsidR="00974E0D">
        <w:rPr>
          <w:rFonts w:ascii="Palatino Linotype" w:hAnsi="Palatino Linotype"/>
          <w:b/>
          <w:lang w:val="es-ES_tradnl"/>
        </w:rPr>
        <w:t>00033</w:t>
      </w:r>
      <w:r w:rsidR="00DA2E8A">
        <w:rPr>
          <w:rFonts w:ascii="Palatino Linotype" w:hAnsi="Palatino Linotype"/>
          <w:b/>
          <w:lang w:val="es-ES_tradnl"/>
        </w:rPr>
        <w:t>/</w:t>
      </w:r>
      <w:r w:rsidR="00974E0D">
        <w:rPr>
          <w:rFonts w:ascii="Palatino Linotype" w:hAnsi="Palatino Linotype"/>
          <w:b/>
          <w:lang w:val="es-ES_tradnl"/>
        </w:rPr>
        <w:t>MELOCAM</w:t>
      </w:r>
      <w:r w:rsidR="00DA2E8A" w:rsidRPr="00F91D9E">
        <w:rPr>
          <w:rFonts w:ascii="Palatino Linotype" w:hAnsi="Palatino Linotype"/>
          <w:b/>
          <w:lang w:val="es-ES_tradnl"/>
        </w:rPr>
        <w:t>/IP/2018</w:t>
      </w:r>
      <w:r w:rsidR="00974E0D">
        <w:rPr>
          <w:rFonts w:ascii="Palatino Linotype" w:hAnsi="Palatino Linotype"/>
          <w:b/>
          <w:lang w:val="es-ES_tradnl"/>
        </w:rPr>
        <w:t xml:space="preserve"> y 00054</w:t>
      </w:r>
      <w:r w:rsidR="00DA2E8A">
        <w:rPr>
          <w:rFonts w:ascii="Palatino Linotype" w:hAnsi="Palatino Linotype"/>
          <w:b/>
          <w:lang w:val="es-ES_tradnl"/>
        </w:rPr>
        <w:t>/</w:t>
      </w:r>
      <w:r w:rsidR="00974E0D">
        <w:rPr>
          <w:rFonts w:ascii="Palatino Linotype" w:hAnsi="Palatino Linotype"/>
          <w:b/>
          <w:lang w:val="es-ES_tradnl"/>
        </w:rPr>
        <w:t>MELOCAM</w:t>
      </w:r>
      <w:r w:rsidR="00DA2E8A" w:rsidRPr="00F91D9E">
        <w:rPr>
          <w:rFonts w:ascii="Palatino Linotype" w:hAnsi="Palatino Linotype"/>
          <w:b/>
          <w:lang w:val="es-ES_tradnl"/>
        </w:rPr>
        <w:t>/IP/2018</w:t>
      </w:r>
      <w:r w:rsidR="00974E0D">
        <w:rPr>
          <w:rFonts w:ascii="Palatino Linotype" w:hAnsi="Palatino Linotype"/>
          <w:b/>
          <w:lang w:val="es-ES_tradnl"/>
        </w:rPr>
        <w:t xml:space="preserve"> </w:t>
      </w:r>
      <w:r w:rsidRPr="00623957">
        <w:rPr>
          <w:rFonts w:ascii="Palatino Linotype" w:hAnsi="Palatino Linotype" w:cs="Arial"/>
        </w:rPr>
        <w:t>por parte de</w:t>
      </w:r>
      <w:r w:rsidR="00974E0D">
        <w:rPr>
          <w:rFonts w:ascii="Palatino Linotype" w:hAnsi="Palatino Linotype" w:cs="Arial"/>
        </w:rPr>
        <w:t>l</w:t>
      </w:r>
      <w:r w:rsidRPr="00623957">
        <w:rPr>
          <w:rFonts w:ascii="Palatino Linotype" w:hAnsi="Palatino Linotype" w:cs="Arial"/>
        </w:rPr>
        <w:t xml:space="preserve"> </w:t>
      </w:r>
      <w:r w:rsidR="00974E0D">
        <w:rPr>
          <w:rFonts w:ascii="Palatino Linotype" w:hAnsi="Palatino Linotype" w:cs="Arial"/>
          <w:b/>
        </w:rPr>
        <w:t>Ayuntamiento de Melchor Ocampo</w:t>
      </w:r>
      <w:r w:rsidRPr="00623957">
        <w:rPr>
          <w:rFonts w:ascii="Palatino Linotype" w:hAnsi="Palatino Linotype" w:cs="Arial"/>
        </w:rPr>
        <w:t xml:space="preserve">, en lo sucesivo el </w:t>
      </w:r>
      <w:r w:rsidRPr="00623957">
        <w:rPr>
          <w:rFonts w:ascii="Palatino Linotype" w:hAnsi="Palatino Linotype" w:cs="Arial"/>
          <w:b/>
        </w:rPr>
        <w:t xml:space="preserve">Sujeto Obligado; </w:t>
      </w:r>
      <w:r w:rsidRPr="00623957">
        <w:rPr>
          <w:rFonts w:ascii="Palatino Linotype" w:hAnsi="Palatino Linotype" w:cs="Arial"/>
        </w:rPr>
        <w:t>se procede a dictar la presente resolución, con base en lo siguiente:</w:t>
      </w:r>
    </w:p>
    <w:p w14:paraId="4C8A8399" w14:textId="77777777" w:rsidR="00373004" w:rsidRPr="00623957" w:rsidRDefault="00373004" w:rsidP="00373004">
      <w:pPr>
        <w:pStyle w:val="Prrafodelista"/>
        <w:numPr>
          <w:ilvl w:val="0"/>
          <w:numId w:val="3"/>
        </w:numPr>
        <w:spacing w:before="240" w:after="240" w:line="360" w:lineRule="auto"/>
        <w:ind w:left="1077"/>
        <w:contextualSpacing/>
        <w:jc w:val="center"/>
        <w:rPr>
          <w:rFonts w:ascii="Palatino Linotype" w:hAnsi="Palatino Linotype" w:cs="Arial"/>
          <w:b/>
        </w:rPr>
      </w:pPr>
      <w:r w:rsidRPr="00623957">
        <w:rPr>
          <w:rFonts w:ascii="Palatino Linotype" w:hAnsi="Palatino Linotype" w:cs="Arial"/>
          <w:b/>
        </w:rPr>
        <w:t>A N T E C E D E N T E S:</w:t>
      </w:r>
    </w:p>
    <w:p w14:paraId="78E7556D" w14:textId="291EF75B" w:rsidR="00373004" w:rsidRPr="00623957" w:rsidRDefault="00373004" w:rsidP="00373004">
      <w:pPr>
        <w:spacing w:before="240" w:after="240" w:line="360" w:lineRule="auto"/>
        <w:jc w:val="both"/>
        <w:rPr>
          <w:rFonts w:ascii="Palatino Linotype" w:hAnsi="Palatino Linotype" w:cs="Arial"/>
          <w:b/>
        </w:rPr>
      </w:pPr>
      <w:r w:rsidRPr="00623957">
        <w:rPr>
          <w:rFonts w:ascii="Palatino Linotype" w:hAnsi="Palatino Linotype" w:cs="Arial"/>
          <w:b/>
        </w:rPr>
        <w:t>1. Solicitud</w:t>
      </w:r>
      <w:r w:rsidR="004C33BE">
        <w:rPr>
          <w:rFonts w:ascii="Palatino Linotype" w:hAnsi="Palatino Linotype" w:cs="Arial"/>
          <w:b/>
        </w:rPr>
        <w:t>es</w:t>
      </w:r>
      <w:r w:rsidRPr="00623957">
        <w:rPr>
          <w:rFonts w:ascii="Palatino Linotype" w:hAnsi="Palatino Linotype" w:cs="Arial"/>
          <w:b/>
        </w:rPr>
        <w:t xml:space="preserve"> de acceso a </w:t>
      </w:r>
      <w:r w:rsidR="00D303BD" w:rsidRPr="00623957">
        <w:rPr>
          <w:rFonts w:ascii="Palatino Linotype" w:hAnsi="Palatino Linotype" w:cs="Arial"/>
          <w:b/>
        </w:rPr>
        <w:t>la información pública</w:t>
      </w:r>
      <w:r w:rsidRPr="00623957">
        <w:rPr>
          <w:rFonts w:ascii="Palatino Linotype" w:hAnsi="Palatino Linotype" w:cs="Arial"/>
          <w:b/>
        </w:rPr>
        <w:t xml:space="preserve">. </w:t>
      </w:r>
      <w:r w:rsidRPr="00623957">
        <w:rPr>
          <w:rFonts w:ascii="Palatino Linotype" w:hAnsi="Palatino Linotype" w:cs="Arial"/>
        </w:rPr>
        <w:t>Con fecha</w:t>
      </w:r>
      <w:r w:rsidR="00974E0D">
        <w:rPr>
          <w:rFonts w:ascii="Palatino Linotype" w:hAnsi="Palatino Linotype" w:cs="Arial"/>
        </w:rPr>
        <w:t>s</w:t>
      </w:r>
      <w:r w:rsidRPr="00623957">
        <w:rPr>
          <w:rFonts w:ascii="Palatino Linotype" w:hAnsi="Palatino Linotype" w:cs="Arial"/>
        </w:rPr>
        <w:t xml:space="preserve"> </w:t>
      </w:r>
      <w:r w:rsidR="00A809B7">
        <w:rPr>
          <w:rFonts w:ascii="Palatino Linotype" w:hAnsi="Palatino Linotype" w:cs="Arial"/>
        </w:rPr>
        <w:t>dieciséis</w:t>
      </w:r>
      <w:r w:rsidR="00974E0D">
        <w:rPr>
          <w:rFonts w:ascii="Palatino Linotype" w:hAnsi="Palatino Linotype" w:cs="Arial"/>
        </w:rPr>
        <w:t xml:space="preserve"> y veintiocho</w:t>
      </w:r>
      <w:r w:rsidR="006F1D2A">
        <w:rPr>
          <w:rFonts w:ascii="Palatino Linotype" w:hAnsi="Palatino Linotype" w:cs="Arial"/>
        </w:rPr>
        <w:t xml:space="preserve"> de </w:t>
      </w:r>
      <w:r w:rsidR="00A809B7">
        <w:rPr>
          <w:rFonts w:ascii="Palatino Linotype" w:hAnsi="Palatino Linotype" w:cs="Arial"/>
        </w:rPr>
        <w:t>mayo</w:t>
      </w:r>
      <w:r w:rsidR="00385D0E">
        <w:rPr>
          <w:rFonts w:ascii="Palatino Linotype" w:hAnsi="Palatino Linotype" w:cs="Arial"/>
        </w:rPr>
        <w:t xml:space="preserve"> </w:t>
      </w:r>
      <w:r w:rsidR="00231A75">
        <w:rPr>
          <w:rFonts w:ascii="Palatino Linotype" w:hAnsi="Palatino Linotype" w:cs="Arial"/>
        </w:rPr>
        <w:t xml:space="preserve">del año </w:t>
      </w:r>
      <w:r w:rsidRPr="00623957">
        <w:rPr>
          <w:rFonts w:ascii="Palatino Linotype" w:hAnsi="Palatino Linotype" w:cs="Arial"/>
        </w:rPr>
        <w:t xml:space="preserve">dos mil </w:t>
      </w:r>
      <w:r w:rsidR="004C33BE">
        <w:rPr>
          <w:rFonts w:ascii="Palatino Linotype" w:hAnsi="Palatino Linotype" w:cs="Arial"/>
        </w:rPr>
        <w:t>dieciocho</w:t>
      </w:r>
      <w:r w:rsidR="00974E0D">
        <w:rPr>
          <w:rFonts w:ascii="Palatino Linotype" w:hAnsi="Palatino Linotype" w:cs="Arial"/>
        </w:rPr>
        <w:t>, el</w:t>
      </w:r>
      <w:r w:rsidRPr="00623957">
        <w:rPr>
          <w:rFonts w:ascii="Palatino Linotype" w:hAnsi="Palatino Linotype" w:cs="Arial"/>
        </w:rPr>
        <w:t xml:space="preserve"> ahora </w:t>
      </w:r>
      <w:r w:rsidRPr="00623957">
        <w:rPr>
          <w:rFonts w:ascii="Palatino Linotype" w:hAnsi="Palatino Linotype" w:cs="Arial"/>
          <w:b/>
        </w:rPr>
        <w:t>recurrente</w:t>
      </w:r>
      <w:r w:rsidRPr="00623957">
        <w:rPr>
          <w:rFonts w:ascii="Palatino Linotype" w:hAnsi="Palatino Linotype" w:cs="Arial"/>
        </w:rPr>
        <w:t xml:space="preserve"> formuló solicitud</w:t>
      </w:r>
      <w:r w:rsidR="004C33BE">
        <w:rPr>
          <w:rFonts w:ascii="Palatino Linotype" w:hAnsi="Palatino Linotype" w:cs="Arial"/>
        </w:rPr>
        <w:t>es</w:t>
      </w:r>
      <w:r w:rsidRPr="00623957">
        <w:rPr>
          <w:rFonts w:ascii="Palatino Linotype" w:hAnsi="Palatino Linotype" w:cs="Arial"/>
        </w:rPr>
        <w:t xml:space="preserve"> de acceso a </w:t>
      </w:r>
      <w:r w:rsidR="00D303BD" w:rsidRPr="00623957">
        <w:rPr>
          <w:rFonts w:ascii="Palatino Linotype" w:hAnsi="Palatino Linotype" w:cs="Arial"/>
        </w:rPr>
        <w:t>la información pública</w:t>
      </w:r>
      <w:r w:rsidRPr="00623957">
        <w:rPr>
          <w:rFonts w:ascii="Palatino Linotype" w:hAnsi="Palatino Linotype" w:cs="Arial"/>
        </w:rPr>
        <w:t xml:space="preserve"> al </w:t>
      </w:r>
      <w:r w:rsidRPr="00623957">
        <w:rPr>
          <w:rFonts w:ascii="Palatino Linotype" w:hAnsi="Palatino Linotype" w:cs="Arial"/>
          <w:b/>
        </w:rPr>
        <w:t>Sujeto Obligado</w:t>
      </w:r>
      <w:r w:rsidRPr="00623957">
        <w:rPr>
          <w:rFonts w:ascii="Palatino Linotype" w:hAnsi="Palatino Linotype" w:cs="Arial"/>
        </w:rPr>
        <w:t xml:space="preserve"> a través del Sistema de Acceso a la Información Mexiquense, en adelante </w:t>
      </w:r>
      <w:r w:rsidRPr="00623957">
        <w:rPr>
          <w:rFonts w:ascii="Palatino Linotype" w:hAnsi="Palatino Linotype" w:cs="Arial"/>
          <w:b/>
        </w:rPr>
        <w:t>SAIMEX,</w:t>
      </w:r>
      <w:r w:rsidR="006F1D2A">
        <w:rPr>
          <w:rFonts w:ascii="Palatino Linotype" w:hAnsi="Palatino Linotype" w:cs="Arial"/>
        </w:rPr>
        <w:t xml:space="preserve"> </w:t>
      </w:r>
      <w:r w:rsidRPr="00623957">
        <w:rPr>
          <w:rFonts w:ascii="Palatino Linotype" w:hAnsi="Palatino Linotype" w:cs="Arial"/>
        </w:rPr>
        <w:t>requiriéndole lo siguiente:</w:t>
      </w:r>
    </w:p>
    <w:p w14:paraId="6BA6BF12" w14:textId="2620F55E" w:rsidR="006F1D2A" w:rsidRDefault="006F1D2A" w:rsidP="006F1D2A">
      <w:pPr>
        <w:spacing w:before="240" w:after="240" w:line="360" w:lineRule="auto"/>
        <w:jc w:val="both"/>
        <w:rPr>
          <w:rFonts w:ascii="Palatino Linotype" w:hAnsi="Palatino Linotype"/>
          <w:b/>
          <w:lang w:val="es-ES_tradnl"/>
        </w:rPr>
      </w:pPr>
      <w:r>
        <w:rPr>
          <w:rFonts w:ascii="Palatino Linotype" w:hAnsi="Palatino Linotype" w:cs="Arial"/>
          <w:b/>
        </w:rPr>
        <w:t xml:space="preserve">Solicitud </w:t>
      </w:r>
      <w:r w:rsidR="00974E0D">
        <w:rPr>
          <w:rFonts w:ascii="Palatino Linotype" w:hAnsi="Palatino Linotype"/>
          <w:b/>
          <w:lang w:val="es-ES_tradnl"/>
        </w:rPr>
        <w:t>00034/MELOCAM</w:t>
      </w:r>
      <w:r w:rsidR="00974E0D" w:rsidRPr="00F91D9E">
        <w:rPr>
          <w:rFonts w:ascii="Palatino Linotype" w:hAnsi="Palatino Linotype"/>
          <w:b/>
          <w:lang w:val="es-ES_tradnl"/>
        </w:rPr>
        <w:t>/IP/2018</w:t>
      </w:r>
      <w:r>
        <w:rPr>
          <w:rFonts w:ascii="Palatino Linotype" w:hAnsi="Palatino Linotype"/>
          <w:b/>
          <w:lang w:val="es-ES_tradnl"/>
        </w:rPr>
        <w:t>:</w:t>
      </w:r>
    </w:p>
    <w:p w14:paraId="76FCF9A4" w14:textId="4130855D" w:rsidR="006F1D2A" w:rsidRPr="00974E0D" w:rsidRDefault="006F1D2A" w:rsidP="00DA2E8A">
      <w:pPr>
        <w:spacing w:after="240"/>
        <w:ind w:left="851" w:right="758"/>
        <w:jc w:val="both"/>
        <w:rPr>
          <w:rFonts w:ascii="Palatino Linotype" w:hAnsi="Palatino Linotype" w:cs="Arial"/>
          <w:i/>
          <w:sz w:val="22"/>
          <w:szCs w:val="22"/>
        </w:rPr>
      </w:pPr>
      <w:r w:rsidRPr="00974E0D">
        <w:rPr>
          <w:rFonts w:ascii="Palatino Linotype" w:hAnsi="Palatino Linotype" w:cs="Arial"/>
          <w:i/>
          <w:sz w:val="22"/>
          <w:szCs w:val="22"/>
        </w:rPr>
        <w:t>“</w:t>
      </w:r>
      <w:r w:rsidR="00974E0D" w:rsidRPr="00974E0D">
        <w:rPr>
          <w:rFonts w:ascii="Palatino Linotype" w:hAnsi="Palatino Linotype"/>
          <w:i/>
          <w:color w:val="000000"/>
          <w:sz w:val="22"/>
          <w:szCs w:val="22"/>
        </w:rPr>
        <w:t xml:space="preserve">Solicito me sea entregada mediante el sistema saimex las versiones publicas de la información contenida en el disco 3 (tres) de los informes mensuales de enero,febrero,marzo,abril,mayo,junio,julio,agosto,septiembre,octubre,noviembre y diciembre del año 2017, esto en base a los lineamientos para la integración del informe mensual 2017 del OSFEM </w:t>
      </w:r>
      <w:r w:rsidR="00974E0D" w:rsidRPr="00974E0D">
        <w:rPr>
          <w:rFonts w:ascii="Palatino Linotype" w:hAnsi="Palatino Linotype"/>
          <w:i/>
          <w:color w:val="000000"/>
          <w:sz w:val="22"/>
          <w:szCs w:val="22"/>
        </w:rPr>
        <w:lastRenderedPageBreak/>
        <w:t>.(http://www.osfem.gob.mx/04_Normatividad/doc/Normatividad/2017/10_LinInfMenMpales17.pdf). Debo hacer mención que despues de una busqueda exhaustiva en la pagina de Ipomex del municipio, no me fue posible encontrardicha información</w:t>
      </w:r>
      <w:r w:rsidRPr="00974E0D">
        <w:rPr>
          <w:rFonts w:ascii="Palatino Linotype" w:hAnsi="Palatino Linotype" w:cs="Arial"/>
          <w:i/>
          <w:sz w:val="22"/>
          <w:szCs w:val="22"/>
        </w:rPr>
        <w:t>.”(Sic)</w:t>
      </w:r>
    </w:p>
    <w:p w14:paraId="60EE7C25" w14:textId="23BB4AC2" w:rsidR="006F1D2A" w:rsidRDefault="006F1D2A" w:rsidP="006F1D2A">
      <w:pPr>
        <w:ind w:right="758"/>
        <w:jc w:val="both"/>
        <w:rPr>
          <w:rFonts w:ascii="Palatino Linotype" w:hAnsi="Palatino Linotype"/>
          <w:b/>
          <w:lang w:val="es-ES_tradnl"/>
        </w:rPr>
      </w:pPr>
      <w:r w:rsidRPr="00FA24D4">
        <w:rPr>
          <w:rFonts w:ascii="Palatino Linotype" w:hAnsi="Palatino Linotype" w:cs="Arial"/>
          <w:b/>
        </w:rPr>
        <w:t xml:space="preserve">Solicitud </w:t>
      </w:r>
      <w:r w:rsidR="00974E0D">
        <w:rPr>
          <w:rFonts w:ascii="Palatino Linotype" w:hAnsi="Palatino Linotype"/>
          <w:b/>
          <w:lang w:val="es-ES_tradnl"/>
        </w:rPr>
        <w:t>00033/MELOCAM</w:t>
      </w:r>
      <w:r w:rsidR="00974E0D" w:rsidRPr="00F91D9E">
        <w:rPr>
          <w:rFonts w:ascii="Palatino Linotype" w:hAnsi="Palatino Linotype"/>
          <w:b/>
          <w:lang w:val="es-ES_tradnl"/>
        </w:rPr>
        <w:t>/IP/2018</w:t>
      </w:r>
      <w:r>
        <w:rPr>
          <w:rFonts w:ascii="Palatino Linotype" w:hAnsi="Palatino Linotype"/>
          <w:b/>
          <w:lang w:val="es-ES_tradnl"/>
        </w:rPr>
        <w:t xml:space="preserve">: </w:t>
      </w:r>
    </w:p>
    <w:p w14:paraId="381D6F56" w14:textId="77777777" w:rsidR="006F1D2A" w:rsidRDefault="006F1D2A" w:rsidP="006F1D2A">
      <w:pPr>
        <w:ind w:right="758"/>
        <w:jc w:val="both"/>
        <w:rPr>
          <w:rFonts w:ascii="Palatino Linotype" w:hAnsi="Palatino Linotype"/>
          <w:b/>
          <w:lang w:val="es-ES_tradnl"/>
        </w:rPr>
      </w:pPr>
    </w:p>
    <w:p w14:paraId="5C44F7A7" w14:textId="71CBF303" w:rsidR="006F1D2A" w:rsidRPr="00974E0D" w:rsidRDefault="006F1D2A" w:rsidP="006F1D2A">
      <w:pPr>
        <w:ind w:left="851" w:right="758"/>
        <w:jc w:val="both"/>
        <w:rPr>
          <w:rFonts w:ascii="Palatino Linotype" w:hAnsi="Palatino Linotype" w:cs="Arial"/>
          <w:i/>
          <w:sz w:val="22"/>
          <w:szCs w:val="22"/>
        </w:rPr>
      </w:pPr>
      <w:r w:rsidRPr="00974E0D">
        <w:rPr>
          <w:rFonts w:ascii="Palatino Linotype" w:hAnsi="Palatino Linotype" w:cs="Arial"/>
          <w:i/>
          <w:sz w:val="22"/>
          <w:szCs w:val="22"/>
        </w:rPr>
        <w:t>“</w:t>
      </w:r>
      <w:r w:rsidR="00974E0D" w:rsidRPr="00974E0D">
        <w:rPr>
          <w:rFonts w:ascii="Palatino Linotype" w:hAnsi="Palatino Linotype"/>
          <w:i/>
          <w:color w:val="000000"/>
          <w:sz w:val="22"/>
          <w:szCs w:val="22"/>
        </w:rPr>
        <w:t>Solicito me sea entregada mediante el sistema saimex las versiones publicas de la información contenida en el disco 4 (cuatro) de los informes mensuales de enero,febrero,marzo,abril,mayo,junio,julio,agosto,septiembre,octubre,noviembre y diciembre del año 2017, esto en base a los lineamientos para la integración del informe mensual 2017 del OSFEM .(http://www.osfem.gob.mx/04_Normatividad/doc/Normatividad/2017/10_LinInfMenMpales17.pdf). Debo hacer mención que despues de una busqueda exhaustiva en la pagina de Ipomex del municipio, no me fue posible encontrardicha información</w:t>
      </w:r>
      <w:r w:rsidR="00A809B7" w:rsidRPr="00974E0D">
        <w:rPr>
          <w:rFonts w:ascii="Palatino Linotype" w:hAnsi="Palatino Linotype"/>
          <w:i/>
          <w:color w:val="000000"/>
          <w:sz w:val="22"/>
          <w:szCs w:val="22"/>
        </w:rPr>
        <w:t>.</w:t>
      </w:r>
      <w:r w:rsidRPr="00974E0D">
        <w:rPr>
          <w:rFonts w:ascii="Palatino Linotype" w:hAnsi="Palatino Linotype" w:cs="Arial"/>
          <w:i/>
          <w:sz w:val="22"/>
          <w:szCs w:val="22"/>
        </w:rPr>
        <w:t>” (Sic)</w:t>
      </w:r>
    </w:p>
    <w:p w14:paraId="7630CAFE" w14:textId="4C447A0E" w:rsidR="00DA2E8A" w:rsidRDefault="00DA2E8A" w:rsidP="00DA2E8A">
      <w:pPr>
        <w:spacing w:before="240" w:after="240" w:line="360" w:lineRule="auto"/>
        <w:jc w:val="both"/>
        <w:rPr>
          <w:rFonts w:ascii="Palatino Linotype" w:hAnsi="Palatino Linotype"/>
          <w:b/>
          <w:lang w:val="es-ES_tradnl"/>
        </w:rPr>
      </w:pPr>
      <w:r>
        <w:rPr>
          <w:rFonts w:ascii="Palatino Linotype" w:hAnsi="Palatino Linotype" w:cs="Arial"/>
          <w:b/>
        </w:rPr>
        <w:t xml:space="preserve">Solicitud </w:t>
      </w:r>
      <w:r w:rsidR="00974E0D">
        <w:rPr>
          <w:rFonts w:ascii="Palatino Linotype" w:hAnsi="Palatino Linotype"/>
          <w:b/>
          <w:lang w:val="es-ES_tradnl"/>
        </w:rPr>
        <w:t>00054/MELOCAM</w:t>
      </w:r>
      <w:r w:rsidR="00974E0D" w:rsidRPr="00F91D9E">
        <w:rPr>
          <w:rFonts w:ascii="Palatino Linotype" w:hAnsi="Palatino Linotype"/>
          <w:b/>
          <w:lang w:val="es-ES_tradnl"/>
        </w:rPr>
        <w:t>/IP/2018</w:t>
      </w:r>
      <w:r>
        <w:rPr>
          <w:rFonts w:ascii="Palatino Linotype" w:hAnsi="Palatino Linotype"/>
          <w:b/>
          <w:lang w:val="es-ES_tradnl"/>
        </w:rPr>
        <w:t>:</w:t>
      </w:r>
    </w:p>
    <w:p w14:paraId="48E87579" w14:textId="3A0E4E60" w:rsidR="00DA2E8A" w:rsidRPr="00974E0D" w:rsidRDefault="00DA2E8A" w:rsidP="00DA2E8A">
      <w:pPr>
        <w:spacing w:after="240"/>
        <w:ind w:left="851" w:right="758"/>
        <w:jc w:val="both"/>
        <w:rPr>
          <w:rFonts w:ascii="Palatino Linotype" w:hAnsi="Palatino Linotype" w:cs="Arial"/>
          <w:i/>
          <w:sz w:val="22"/>
          <w:szCs w:val="22"/>
        </w:rPr>
      </w:pPr>
      <w:r w:rsidRPr="00974E0D">
        <w:rPr>
          <w:rFonts w:ascii="Palatino Linotype" w:hAnsi="Palatino Linotype" w:cs="Arial"/>
          <w:i/>
          <w:sz w:val="22"/>
          <w:szCs w:val="22"/>
        </w:rPr>
        <w:t>“</w:t>
      </w:r>
      <w:r w:rsidR="00974E0D" w:rsidRPr="00974E0D">
        <w:rPr>
          <w:rFonts w:ascii="Palatino Linotype" w:hAnsi="Palatino Linotype"/>
          <w:i/>
          <w:color w:val="000000"/>
          <w:sz w:val="22"/>
          <w:szCs w:val="22"/>
        </w:rPr>
        <w:t>Solicito me sean entregadas por este medio las versiones públicas de las pólizas de pago, transferencias bancarias y facturas de los pagos realizados por las obras de remodelación del auditorio "Ricardo Flores Magón", sito en plaza Juarez Colonia Centro en el municipio de Melchor Ocampo y hoy denominado "Auditorio municipal del centenario Ricardo y Enrique Flores Magón". Debo aclarar que dichos documentos no se encuentran disponibles en la pagina Ipomex del municipio y que dicha información es generada y almacenada por el ayuntamiento, dado que debió ser entregada al organo superior de fiscalización del estado de México en el disco 3 referente a obra pública</w:t>
      </w:r>
      <w:r w:rsidRPr="00974E0D">
        <w:rPr>
          <w:rFonts w:ascii="Palatino Linotype" w:hAnsi="Palatino Linotype" w:cs="Arial"/>
          <w:i/>
          <w:sz w:val="22"/>
          <w:szCs w:val="22"/>
        </w:rPr>
        <w:t>.”(Sic)</w:t>
      </w:r>
    </w:p>
    <w:p w14:paraId="684ACC69" w14:textId="215460F7" w:rsidR="000D79C6" w:rsidRPr="00623957" w:rsidRDefault="000D79C6" w:rsidP="00373004">
      <w:pPr>
        <w:spacing w:before="240" w:after="240" w:line="360" w:lineRule="auto"/>
        <w:jc w:val="both"/>
        <w:rPr>
          <w:rFonts w:ascii="Palatino Linotype" w:hAnsi="Palatino Linotype" w:cs="Arial"/>
        </w:rPr>
      </w:pPr>
      <w:r w:rsidRPr="00623957">
        <w:rPr>
          <w:rFonts w:ascii="Palatino Linotype" w:hAnsi="Palatino Linotype" w:cs="Arial"/>
          <w:b/>
        </w:rPr>
        <w:t>Modalidad elegida para la entrega de la información</w:t>
      </w:r>
      <w:r w:rsidR="00567F67">
        <w:rPr>
          <w:rFonts w:ascii="Palatino Linotype" w:hAnsi="Palatino Linotype" w:cs="Arial"/>
          <w:b/>
        </w:rPr>
        <w:t xml:space="preserve"> de las tres solicitudes</w:t>
      </w:r>
      <w:r w:rsidRPr="00623957">
        <w:rPr>
          <w:rFonts w:ascii="Palatino Linotype" w:hAnsi="Palatino Linotype" w:cs="Arial"/>
          <w:b/>
        </w:rPr>
        <w:t xml:space="preserve">: </w:t>
      </w:r>
      <w:r w:rsidR="00567F67">
        <w:rPr>
          <w:rFonts w:ascii="Palatino Linotype" w:hAnsi="Palatino Linotype" w:cs="Arial"/>
        </w:rPr>
        <w:t>el</w:t>
      </w:r>
      <w:r w:rsidRPr="00623957">
        <w:rPr>
          <w:rFonts w:ascii="Palatino Linotype" w:hAnsi="Palatino Linotype" w:cs="Arial"/>
        </w:rPr>
        <w:t xml:space="preserve"> SAIMEX.</w:t>
      </w:r>
    </w:p>
    <w:p w14:paraId="71C5C8F0" w14:textId="25C297EE" w:rsidR="00373004" w:rsidRDefault="00992EE9" w:rsidP="00373004">
      <w:pPr>
        <w:spacing w:before="240" w:after="240" w:line="360" w:lineRule="auto"/>
        <w:jc w:val="both"/>
        <w:rPr>
          <w:rFonts w:ascii="Palatino Linotype" w:hAnsi="Palatino Linotype" w:cs="Arial"/>
        </w:rPr>
      </w:pPr>
      <w:r>
        <w:rPr>
          <w:rFonts w:ascii="Palatino Linotype" w:hAnsi="Palatino Linotype" w:cs="Arial"/>
          <w:b/>
        </w:rPr>
        <w:t xml:space="preserve">2. </w:t>
      </w:r>
      <w:r w:rsidR="00707C30">
        <w:rPr>
          <w:rFonts w:ascii="Palatino Linotype" w:hAnsi="Palatino Linotype" w:cs="Arial"/>
          <w:b/>
        </w:rPr>
        <w:t>Respuesta</w:t>
      </w:r>
      <w:r w:rsidR="00373004" w:rsidRPr="00623957">
        <w:rPr>
          <w:rFonts w:ascii="Palatino Linotype" w:hAnsi="Palatino Linotype" w:cs="Arial"/>
          <w:b/>
        </w:rPr>
        <w:t xml:space="preserve">. </w:t>
      </w:r>
      <w:r w:rsidR="00373004" w:rsidRPr="00623957">
        <w:rPr>
          <w:rFonts w:ascii="Palatino Linotype" w:hAnsi="Palatino Linotype" w:cs="Arial"/>
        </w:rPr>
        <w:t>Con fecha</w:t>
      </w:r>
      <w:r w:rsidR="009470D1">
        <w:rPr>
          <w:rFonts w:ascii="Palatino Linotype" w:hAnsi="Palatino Linotype" w:cs="Arial"/>
        </w:rPr>
        <w:t>s seis y</w:t>
      </w:r>
      <w:r>
        <w:rPr>
          <w:rFonts w:ascii="Palatino Linotype" w:hAnsi="Palatino Linotype" w:cs="Arial"/>
        </w:rPr>
        <w:t xml:space="preserve"> </w:t>
      </w:r>
      <w:r w:rsidR="009470D1">
        <w:rPr>
          <w:rFonts w:ascii="Palatino Linotype" w:hAnsi="Palatino Linotype" w:cs="Arial"/>
        </w:rPr>
        <w:t>diecinueve</w:t>
      </w:r>
      <w:r w:rsidR="00707C30">
        <w:rPr>
          <w:rFonts w:ascii="Palatino Linotype" w:hAnsi="Palatino Linotype" w:cs="Arial"/>
        </w:rPr>
        <w:t xml:space="preserve"> </w:t>
      </w:r>
      <w:r w:rsidR="00023AD2" w:rsidRPr="00623957">
        <w:rPr>
          <w:rFonts w:ascii="Palatino Linotype" w:hAnsi="Palatino Linotype" w:cs="Arial"/>
        </w:rPr>
        <w:t xml:space="preserve">de </w:t>
      </w:r>
      <w:r w:rsidR="004B7CE0">
        <w:rPr>
          <w:rFonts w:ascii="Palatino Linotype" w:hAnsi="Palatino Linotype" w:cs="Arial"/>
        </w:rPr>
        <w:t>junio</w:t>
      </w:r>
      <w:r w:rsidR="00DA2E8A">
        <w:rPr>
          <w:rFonts w:ascii="Palatino Linotype" w:hAnsi="Palatino Linotype" w:cs="Arial"/>
        </w:rPr>
        <w:t xml:space="preserve"> </w:t>
      </w:r>
      <w:r>
        <w:rPr>
          <w:rFonts w:ascii="Palatino Linotype" w:hAnsi="Palatino Linotype" w:cs="Arial"/>
        </w:rPr>
        <w:t xml:space="preserve">del </w:t>
      </w:r>
      <w:r w:rsidR="00231A75">
        <w:rPr>
          <w:rFonts w:ascii="Palatino Linotype" w:hAnsi="Palatino Linotype" w:cs="Arial"/>
        </w:rPr>
        <w:t xml:space="preserve">año </w:t>
      </w:r>
      <w:r w:rsidR="00373004" w:rsidRPr="00623957">
        <w:rPr>
          <w:rFonts w:ascii="Palatino Linotype" w:hAnsi="Palatino Linotype" w:cs="Arial"/>
        </w:rPr>
        <w:t xml:space="preserve">dos mil </w:t>
      </w:r>
      <w:r w:rsidR="00F42F0F">
        <w:rPr>
          <w:rFonts w:ascii="Palatino Linotype" w:hAnsi="Palatino Linotype" w:cs="Arial"/>
        </w:rPr>
        <w:t>dieciocho</w:t>
      </w:r>
      <w:r w:rsidR="00373004" w:rsidRPr="00623957">
        <w:rPr>
          <w:rFonts w:ascii="Palatino Linotype" w:hAnsi="Palatino Linotype" w:cs="Arial"/>
        </w:rPr>
        <w:t xml:space="preserve"> el </w:t>
      </w:r>
      <w:r w:rsidR="00373004" w:rsidRPr="00623957">
        <w:rPr>
          <w:rFonts w:ascii="Palatino Linotype" w:hAnsi="Palatino Linotype" w:cs="Arial"/>
          <w:b/>
        </w:rPr>
        <w:t>Sujeto Obligado</w:t>
      </w:r>
      <w:r w:rsidR="00023AD2" w:rsidRPr="00623957">
        <w:rPr>
          <w:rFonts w:ascii="Palatino Linotype" w:hAnsi="Palatino Linotype" w:cs="Arial"/>
        </w:rPr>
        <w:t xml:space="preserve"> </w:t>
      </w:r>
      <w:r w:rsidR="00707C30">
        <w:rPr>
          <w:rFonts w:ascii="Palatino Linotype" w:hAnsi="Palatino Linotype" w:cs="Arial"/>
        </w:rPr>
        <w:t>emitió respuesta a la</w:t>
      </w:r>
      <w:r w:rsidR="00F42F0F">
        <w:rPr>
          <w:rFonts w:ascii="Palatino Linotype" w:hAnsi="Palatino Linotype" w:cs="Arial"/>
        </w:rPr>
        <w:t>s</w:t>
      </w:r>
      <w:r w:rsidR="00707C30">
        <w:rPr>
          <w:rFonts w:ascii="Palatino Linotype" w:hAnsi="Palatino Linotype" w:cs="Arial"/>
        </w:rPr>
        <w:t xml:space="preserve"> solicitud</w:t>
      </w:r>
      <w:r w:rsidR="00F42F0F">
        <w:rPr>
          <w:rFonts w:ascii="Palatino Linotype" w:hAnsi="Palatino Linotype" w:cs="Arial"/>
        </w:rPr>
        <w:t>es</w:t>
      </w:r>
      <w:r w:rsidR="00707C30">
        <w:rPr>
          <w:rFonts w:ascii="Palatino Linotype" w:hAnsi="Palatino Linotype" w:cs="Arial"/>
        </w:rPr>
        <w:t xml:space="preserve"> de acceso </w:t>
      </w:r>
      <w:r w:rsidR="009D5B53">
        <w:rPr>
          <w:rFonts w:ascii="Palatino Linotype" w:hAnsi="Palatino Linotype" w:cs="Arial"/>
        </w:rPr>
        <w:t xml:space="preserve">a la información </w:t>
      </w:r>
      <w:r w:rsidR="00567F67">
        <w:rPr>
          <w:rFonts w:ascii="Palatino Linotype" w:hAnsi="Palatino Linotype" w:cs="Arial"/>
        </w:rPr>
        <w:t>en los</w:t>
      </w:r>
      <w:r w:rsidR="00334C6F">
        <w:rPr>
          <w:rFonts w:ascii="Palatino Linotype" w:hAnsi="Palatino Linotype" w:cs="Arial"/>
        </w:rPr>
        <w:t xml:space="preserve"> </w:t>
      </w:r>
      <w:r w:rsidR="00707C30">
        <w:rPr>
          <w:rFonts w:ascii="Palatino Linotype" w:hAnsi="Palatino Linotype" w:cs="Arial"/>
        </w:rPr>
        <w:t>términos</w:t>
      </w:r>
      <w:r w:rsidR="00567F67">
        <w:rPr>
          <w:rFonts w:ascii="Palatino Linotype" w:hAnsi="Palatino Linotype" w:cs="Arial"/>
        </w:rPr>
        <w:t xml:space="preserve"> siguientes</w:t>
      </w:r>
      <w:r w:rsidR="00023AD2" w:rsidRPr="00623957">
        <w:rPr>
          <w:rFonts w:ascii="Palatino Linotype" w:hAnsi="Palatino Linotype" w:cs="Arial"/>
        </w:rPr>
        <w:t>:</w:t>
      </w:r>
    </w:p>
    <w:p w14:paraId="09F59356" w14:textId="77777777" w:rsidR="009470D1" w:rsidRDefault="00334C6F" w:rsidP="009470D1">
      <w:pPr>
        <w:spacing w:before="240" w:after="240" w:line="360" w:lineRule="auto"/>
        <w:jc w:val="both"/>
        <w:rPr>
          <w:rFonts w:ascii="Palatino Linotype" w:hAnsi="Palatino Linotype"/>
          <w:b/>
          <w:lang w:val="es-ES_tradnl"/>
        </w:rPr>
      </w:pPr>
      <w:r>
        <w:rPr>
          <w:rFonts w:ascii="Palatino Linotype" w:hAnsi="Palatino Linotype" w:cs="Arial"/>
          <w:i/>
          <w:sz w:val="22"/>
          <w:szCs w:val="22"/>
        </w:rPr>
        <w:lastRenderedPageBreak/>
        <w:t xml:space="preserve"> </w:t>
      </w:r>
      <w:r w:rsidR="009470D1">
        <w:rPr>
          <w:rFonts w:ascii="Palatino Linotype" w:hAnsi="Palatino Linotype" w:cs="Arial"/>
          <w:b/>
        </w:rPr>
        <w:t xml:space="preserve">Solicitud </w:t>
      </w:r>
      <w:r w:rsidR="009470D1">
        <w:rPr>
          <w:rFonts w:ascii="Palatino Linotype" w:hAnsi="Palatino Linotype"/>
          <w:b/>
          <w:lang w:val="es-ES_tradnl"/>
        </w:rPr>
        <w:t>00034/MELOCAM</w:t>
      </w:r>
      <w:r w:rsidR="009470D1" w:rsidRPr="00F91D9E">
        <w:rPr>
          <w:rFonts w:ascii="Palatino Linotype" w:hAnsi="Palatino Linotype"/>
          <w:b/>
          <w:lang w:val="es-ES_tradnl"/>
        </w:rPr>
        <w:t>/IP/2018</w:t>
      </w:r>
      <w:r w:rsidR="009470D1">
        <w:rPr>
          <w:rFonts w:ascii="Palatino Linotype" w:hAnsi="Palatino Linotype"/>
          <w:b/>
          <w:lang w:val="es-ES_tradnl"/>
        </w:rPr>
        <w:t>:</w:t>
      </w:r>
    </w:p>
    <w:p w14:paraId="2D21F04F" w14:textId="419796C3" w:rsidR="009470D1" w:rsidRPr="009470D1" w:rsidRDefault="009470D1" w:rsidP="009470D1">
      <w:pPr>
        <w:spacing w:after="240"/>
        <w:ind w:left="851" w:right="758"/>
        <w:jc w:val="both"/>
        <w:rPr>
          <w:rFonts w:ascii="Palatino Linotype" w:hAnsi="Palatino Linotype" w:cs="Arial"/>
          <w:i/>
          <w:sz w:val="22"/>
          <w:szCs w:val="22"/>
        </w:rPr>
      </w:pPr>
      <w:r w:rsidRPr="009470D1">
        <w:rPr>
          <w:rFonts w:ascii="Palatino Linotype" w:hAnsi="Palatino Linotype" w:cs="Arial"/>
          <w:i/>
          <w:sz w:val="22"/>
          <w:szCs w:val="22"/>
        </w:rPr>
        <w:t>“…</w:t>
      </w:r>
      <w:r w:rsidRPr="009470D1">
        <w:rPr>
          <w:rFonts w:ascii="Palatino Linotype" w:hAnsi="Palatino Linotype"/>
          <w:i/>
          <w:color w:val="000000"/>
          <w:sz w:val="22"/>
          <w:szCs w:val="22"/>
        </w:rPr>
        <w:t>Estando en tiempo y forma en términos de los artículos 12, 150, 157, 163 y demás relativos de la Ley de Transparencia y Acceso a la Información Pública del Estado de México y Municipios vigente, con respecto a su petición 00034/MELOCAM/IP/2018 de fecha dieciséis de mayo del año en curso mediante el sistema SAIMEX, se le informa lo siguiente: Le informamos que la información solicitada se está generando los archivos correspondientes.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Pr="009470D1">
        <w:rPr>
          <w:rFonts w:ascii="Palatino Linotype" w:hAnsi="Palatino Linotype" w:cs="Arial"/>
          <w:i/>
          <w:sz w:val="22"/>
          <w:szCs w:val="22"/>
        </w:rPr>
        <w:t>.”(Sic)</w:t>
      </w:r>
    </w:p>
    <w:p w14:paraId="0A0CC4AB" w14:textId="77777777" w:rsidR="009470D1" w:rsidRDefault="009470D1" w:rsidP="009470D1">
      <w:pPr>
        <w:ind w:right="758"/>
        <w:jc w:val="both"/>
        <w:rPr>
          <w:rFonts w:ascii="Palatino Linotype" w:hAnsi="Palatino Linotype"/>
          <w:b/>
          <w:lang w:val="es-ES_tradnl"/>
        </w:rPr>
      </w:pPr>
      <w:r w:rsidRPr="00FA24D4">
        <w:rPr>
          <w:rFonts w:ascii="Palatino Linotype" w:hAnsi="Palatino Linotype" w:cs="Arial"/>
          <w:b/>
        </w:rPr>
        <w:t xml:space="preserve">Solicitud </w:t>
      </w:r>
      <w:r>
        <w:rPr>
          <w:rFonts w:ascii="Palatino Linotype" w:hAnsi="Palatino Linotype"/>
          <w:b/>
          <w:lang w:val="es-ES_tradnl"/>
        </w:rPr>
        <w:t>00033/MELOCAM</w:t>
      </w:r>
      <w:r w:rsidRPr="00F91D9E">
        <w:rPr>
          <w:rFonts w:ascii="Palatino Linotype" w:hAnsi="Palatino Linotype"/>
          <w:b/>
          <w:lang w:val="es-ES_tradnl"/>
        </w:rPr>
        <w:t>/IP/2018</w:t>
      </w:r>
      <w:r>
        <w:rPr>
          <w:rFonts w:ascii="Palatino Linotype" w:hAnsi="Palatino Linotype"/>
          <w:b/>
          <w:lang w:val="es-ES_tradnl"/>
        </w:rPr>
        <w:t xml:space="preserve">: </w:t>
      </w:r>
    </w:p>
    <w:p w14:paraId="26E18FEA" w14:textId="77777777" w:rsidR="009470D1" w:rsidRDefault="009470D1" w:rsidP="009470D1">
      <w:pPr>
        <w:ind w:right="758"/>
        <w:jc w:val="both"/>
        <w:rPr>
          <w:rFonts w:ascii="Palatino Linotype" w:hAnsi="Palatino Linotype"/>
          <w:b/>
          <w:lang w:val="es-ES_tradnl"/>
        </w:rPr>
      </w:pPr>
    </w:p>
    <w:p w14:paraId="365ADBE6" w14:textId="3894AE7C" w:rsidR="009470D1" w:rsidRPr="009470D1" w:rsidRDefault="009470D1" w:rsidP="009470D1">
      <w:pPr>
        <w:ind w:left="851" w:right="758"/>
        <w:jc w:val="both"/>
        <w:rPr>
          <w:rFonts w:ascii="Palatino Linotype" w:hAnsi="Palatino Linotype" w:cs="Arial"/>
          <w:i/>
          <w:sz w:val="22"/>
          <w:szCs w:val="22"/>
        </w:rPr>
      </w:pPr>
      <w:r w:rsidRPr="009470D1">
        <w:rPr>
          <w:rFonts w:ascii="Palatino Linotype" w:hAnsi="Palatino Linotype" w:cs="Arial"/>
          <w:i/>
          <w:sz w:val="22"/>
          <w:szCs w:val="22"/>
        </w:rPr>
        <w:t>“…</w:t>
      </w:r>
      <w:r w:rsidRPr="009470D1">
        <w:rPr>
          <w:rFonts w:ascii="Palatino Linotype" w:hAnsi="Palatino Linotype"/>
          <w:i/>
          <w:color w:val="000000"/>
          <w:sz w:val="22"/>
          <w:szCs w:val="22"/>
        </w:rPr>
        <w:t>Estando en tiempo y forma en términos de los artículos 12, 150, 157, 163 y demás relativos de la Ley de Transparencia y Acceso a la Información Pública del Estado de México y Municipios vigente, con respecto a su petición 00033/MELOCAM/IP/2018 de fecha dieciséis de mayo del año en curso mediante el sistema SAIMEX, se le informa lo siguiente: Le informamos que la información solicitada se está generando los archivos correspondientes.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Pr="009470D1">
        <w:rPr>
          <w:rFonts w:ascii="Palatino Linotype" w:hAnsi="Palatino Linotype" w:cs="Arial"/>
          <w:i/>
          <w:sz w:val="22"/>
          <w:szCs w:val="22"/>
        </w:rPr>
        <w:t>” (Sic)</w:t>
      </w:r>
    </w:p>
    <w:p w14:paraId="56B2E2DE" w14:textId="77777777" w:rsidR="009470D1" w:rsidRDefault="009470D1" w:rsidP="009470D1">
      <w:pPr>
        <w:spacing w:before="240" w:after="240" w:line="360" w:lineRule="auto"/>
        <w:jc w:val="both"/>
        <w:rPr>
          <w:rFonts w:ascii="Palatino Linotype" w:hAnsi="Palatino Linotype"/>
          <w:b/>
          <w:lang w:val="es-ES_tradnl"/>
        </w:rPr>
      </w:pPr>
      <w:r>
        <w:rPr>
          <w:rFonts w:ascii="Palatino Linotype" w:hAnsi="Palatino Linotype" w:cs="Arial"/>
          <w:b/>
        </w:rPr>
        <w:t xml:space="preserve">Solicitud </w:t>
      </w:r>
      <w:r>
        <w:rPr>
          <w:rFonts w:ascii="Palatino Linotype" w:hAnsi="Palatino Linotype"/>
          <w:b/>
          <w:lang w:val="es-ES_tradnl"/>
        </w:rPr>
        <w:t>00054/MELOCAM</w:t>
      </w:r>
      <w:r w:rsidRPr="00F91D9E">
        <w:rPr>
          <w:rFonts w:ascii="Palatino Linotype" w:hAnsi="Palatino Linotype"/>
          <w:b/>
          <w:lang w:val="es-ES_tradnl"/>
        </w:rPr>
        <w:t>/IP/2018</w:t>
      </w:r>
      <w:r>
        <w:rPr>
          <w:rFonts w:ascii="Palatino Linotype" w:hAnsi="Palatino Linotype"/>
          <w:b/>
          <w:lang w:val="es-ES_tradnl"/>
        </w:rPr>
        <w:t>:</w:t>
      </w:r>
    </w:p>
    <w:p w14:paraId="45298240" w14:textId="77777777" w:rsidR="009470D1" w:rsidRPr="009470D1" w:rsidRDefault="009470D1" w:rsidP="009470D1">
      <w:pPr>
        <w:spacing w:before="240" w:after="240"/>
        <w:ind w:left="851" w:right="900"/>
        <w:jc w:val="both"/>
        <w:rPr>
          <w:rFonts w:ascii="Palatino Linotype" w:hAnsi="Palatino Linotype" w:cs="Arial"/>
          <w:i/>
          <w:sz w:val="22"/>
          <w:szCs w:val="22"/>
        </w:rPr>
      </w:pPr>
      <w:r w:rsidRPr="009470D1">
        <w:rPr>
          <w:rFonts w:ascii="Palatino Linotype" w:hAnsi="Palatino Linotype" w:cs="Arial"/>
          <w:i/>
          <w:sz w:val="22"/>
          <w:szCs w:val="22"/>
        </w:rPr>
        <w:t>“</w:t>
      </w:r>
      <w:r w:rsidRPr="009470D1">
        <w:rPr>
          <w:rFonts w:ascii="Palatino Linotype" w:hAnsi="Palatino Linotype"/>
          <w:i/>
          <w:color w:val="000000"/>
          <w:sz w:val="22"/>
          <w:szCs w:val="22"/>
        </w:rPr>
        <w:t>Estando en tiempo y forma en términos de los artículos 12, 150, 157, 163 y demás relativos de la Ley de Transparencia y Acceso a la Información Pública del Estado de México y Municipios vigente, con respecto a su petición mediante el sistema SAIMEX, se le informa lo siguiente: La información solicitada se encuentra en proceso de creación.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Pr="009470D1">
        <w:rPr>
          <w:rFonts w:ascii="Palatino Linotype" w:hAnsi="Palatino Linotype" w:cs="Arial"/>
          <w:i/>
          <w:sz w:val="22"/>
          <w:szCs w:val="22"/>
        </w:rPr>
        <w:t>”(Sic)</w:t>
      </w:r>
    </w:p>
    <w:p w14:paraId="4D5370C7" w14:textId="3B9110AE" w:rsidR="00373004" w:rsidRDefault="00057A30" w:rsidP="00373004">
      <w:pPr>
        <w:spacing w:before="240" w:after="240" w:line="360" w:lineRule="auto"/>
        <w:jc w:val="both"/>
        <w:rPr>
          <w:rFonts w:ascii="Palatino Linotype" w:hAnsi="Palatino Linotype" w:cs="Arial"/>
        </w:rPr>
      </w:pPr>
      <w:r>
        <w:rPr>
          <w:rFonts w:ascii="Palatino Linotype" w:hAnsi="Palatino Linotype" w:cs="Arial"/>
          <w:b/>
        </w:rPr>
        <w:lastRenderedPageBreak/>
        <w:t>3</w:t>
      </w:r>
      <w:r w:rsidR="000553C0" w:rsidRPr="00623957">
        <w:rPr>
          <w:rFonts w:ascii="Palatino Linotype" w:hAnsi="Palatino Linotype" w:cs="Arial"/>
          <w:b/>
        </w:rPr>
        <w:t xml:space="preserve">. </w:t>
      </w:r>
      <w:r w:rsidR="00BF461A">
        <w:rPr>
          <w:rFonts w:ascii="Palatino Linotype" w:hAnsi="Palatino Linotype" w:cs="Arial"/>
          <w:b/>
        </w:rPr>
        <w:t>Interposición de los</w:t>
      </w:r>
      <w:r w:rsidR="00373004" w:rsidRPr="00623957">
        <w:rPr>
          <w:rFonts w:ascii="Palatino Linotype" w:hAnsi="Palatino Linotype" w:cs="Arial"/>
          <w:b/>
        </w:rPr>
        <w:t xml:space="preserve"> recurso</w:t>
      </w:r>
      <w:r w:rsidR="00BF461A">
        <w:rPr>
          <w:rFonts w:ascii="Palatino Linotype" w:hAnsi="Palatino Linotype" w:cs="Arial"/>
          <w:b/>
        </w:rPr>
        <w:t>s</w:t>
      </w:r>
      <w:r w:rsidR="00373004" w:rsidRPr="00623957">
        <w:rPr>
          <w:rFonts w:ascii="Palatino Linotype" w:hAnsi="Palatino Linotype" w:cs="Arial"/>
          <w:b/>
        </w:rPr>
        <w:t xml:space="preserve"> de revisión. </w:t>
      </w:r>
      <w:r w:rsidR="009470D1">
        <w:rPr>
          <w:rFonts w:ascii="Palatino Linotype" w:hAnsi="Palatino Linotype" w:cs="Arial"/>
        </w:rPr>
        <w:t>Inconforme el</w:t>
      </w:r>
      <w:r w:rsidR="00303AA4">
        <w:rPr>
          <w:rFonts w:ascii="Palatino Linotype" w:hAnsi="Palatino Linotype" w:cs="Arial"/>
        </w:rPr>
        <w:t xml:space="preserve"> solicitante con la</w:t>
      </w:r>
      <w:r w:rsidR="00FF1088">
        <w:rPr>
          <w:rFonts w:ascii="Palatino Linotype" w:hAnsi="Palatino Linotype" w:cs="Arial"/>
        </w:rPr>
        <w:t>s</w:t>
      </w:r>
      <w:r w:rsidR="00373004" w:rsidRPr="00623957">
        <w:rPr>
          <w:rFonts w:ascii="Palatino Linotype" w:hAnsi="Palatino Linotype" w:cs="Arial"/>
        </w:rPr>
        <w:t xml:space="preserve"> </w:t>
      </w:r>
      <w:r w:rsidR="00FF1088">
        <w:rPr>
          <w:rFonts w:ascii="Palatino Linotype" w:hAnsi="Palatino Linotype" w:cs="Arial"/>
        </w:rPr>
        <w:t xml:space="preserve">respuestas </w:t>
      </w:r>
      <w:r w:rsidR="00303AA4">
        <w:rPr>
          <w:rFonts w:ascii="Palatino Linotype" w:hAnsi="Palatino Linotype" w:cs="Arial"/>
        </w:rPr>
        <w:t>otorgada</w:t>
      </w:r>
      <w:r w:rsidR="00FF1088">
        <w:rPr>
          <w:rFonts w:ascii="Palatino Linotype" w:hAnsi="Palatino Linotype" w:cs="Arial"/>
        </w:rPr>
        <w:t>s</w:t>
      </w:r>
      <w:r w:rsidR="00303AA4">
        <w:rPr>
          <w:rFonts w:ascii="Palatino Linotype" w:hAnsi="Palatino Linotype" w:cs="Arial"/>
        </w:rPr>
        <w:t xml:space="preserve"> </w:t>
      </w:r>
      <w:r w:rsidR="00816040" w:rsidRPr="00623957">
        <w:rPr>
          <w:rFonts w:ascii="Palatino Linotype" w:hAnsi="Palatino Linotype" w:cs="Arial"/>
        </w:rPr>
        <w:t>por el</w:t>
      </w:r>
      <w:r w:rsidR="00373004" w:rsidRPr="00623957">
        <w:rPr>
          <w:rFonts w:ascii="Palatino Linotype" w:hAnsi="Palatino Linotype" w:cs="Arial"/>
        </w:rPr>
        <w:t xml:space="preserve"> </w:t>
      </w:r>
      <w:r w:rsidR="00373004" w:rsidRPr="00623957">
        <w:rPr>
          <w:rFonts w:ascii="Palatino Linotype" w:hAnsi="Palatino Linotype" w:cs="Arial"/>
          <w:b/>
        </w:rPr>
        <w:t>Sujeto Obligado</w:t>
      </w:r>
      <w:r w:rsidR="00373004" w:rsidRPr="00623957">
        <w:rPr>
          <w:rFonts w:ascii="Palatino Linotype" w:hAnsi="Palatino Linotype" w:cs="Arial"/>
        </w:rPr>
        <w:t xml:space="preserve"> interpuso recurso</w:t>
      </w:r>
      <w:r w:rsidR="00BF461A">
        <w:rPr>
          <w:rFonts w:ascii="Palatino Linotype" w:hAnsi="Palatino Linotype" w:cs="Arial"/>
        </w:rPr>
        <w:t>s</w:t>
      </w:r>
      <w:r w:rsidR="00373004" w:rsidRPr="00623957">
        <w:rPr>
          <w:rFonts w:ascii="Palatino Linotype" w:hAnsi="Palatino Linotype" w:cs="Arial"/>
        </w:rPr>
        <w:t xml:space="preserve"> de revisi</w:t>
      </w:r>
      <w:r w:rsidR="00707C30">
        <w:rPr>
          <w:rFonts w:ascii="Palatino Linotype" w:hAnsi="Palatino Linotype" w:cs="Arial"/>
        </w:rPr>
        <w:t>ón a través del SAIMEX en fecha</w:t>
      </w:r>
      <w:r w:rsidR="009470D1">
        <w:rPr>
          <w:rFonts w:ascii="Palatino Linotype" w:hAnsi="Palatino Linotype" w:cs="Arial"/>
        </w:rPr>
        <w:t>s</w:t>
      </w:r>
      <w:r w:rsidR="00373004" w:rsidRPr="00623957">
        <w:rPr>
          <w:rFonts w:ascii="Palatino Linotype" w:hAnsi="Palatino Linotype" w:cs="Arial"/>
        </w:rPr>
        <w:t xml:space="preserve"> </w:t>
      </w:r>
      <w:r w:rsidR="009470D1">
        <w:rPr>
          <w:rFonts w:ascii="Palatino Linotype" w:hAnsi="Palatino Linotype" w:cs="Arial"/>
        </w:rPr>
        <w:t>once y veintiuno</w:t>
      </w:r>
      <w:r w:rsidR="00373004" w:rsidRPr="00623957">
        <w:rPr>
          <w:rFonts w:ascii="Palatino Linotype" w:hAnsi="Palatino Linotype" w:cs="Arial"/>
        </w:rPr>
        <w:t xml:space="preserve"> de </w:t>
      </w:r>
      <w:r w:rsidR="009470D1">
        <w:rPr>
          <w:rFonts w:ascii="Palatino Linotype" w:hAnsi="Palatino Linotype" w:cs="Arial"/>
        </w:rPr>
        <w:t xml:space="preserve">junio </w:t>
      </w:r>
      <w:r w:rsidR="00567F67">
        <w:rPr>
          <w:rFonts w:ascii="Palatino Linotype" w:hAnsi="Palatino Linotype" w:cs="Arial"/>
        </w:rPr>
        <w:t>de</w:t>
      </w:r>
      <w:r w:rsidR="00231A75">
        <w:rPr>
          <w:rFonts w:ascii="Palatino Linotype" w:hAnsi="Palatino Linotype" w:cs="Arial"/>
        </w:rPr>
        <w:t xml:space="preserve"> </w:t>
      </w:r>
      <w:r w:rsidR="00373004" w:rsidRPr="00623957">
        <w:rPr>
          <w:rFonts w:ascii="Palatino Linotype" w:hAnsi="Palatino Linotype" w:cs="Arial"/>
        </w:rPr>
        <w:t xml:space="preserve">dos mil </w:t>
      </w:r>
      <w:r w:rsidR="00BF461A">
        <w:rPr>
          <w:rFonts w:ascii="Palatino Linotype" w:hAnsi="Palatino Linotype" w:cs="Arial"/>
        </w:rPr>
        <w:t xml:space="preserve">dieciocho, </w:t>
      </w:r>
      <w:r w:rsidR="00484DE9">
        <w:rPr>
          <w:rFonts w:ascii="Palatino Linotype" w:hAnsi="Palatino Linotype" w:cs="Arial"/>
        </w:rPr>
        <w:t>expresando</w:t>
      </w:r>
      <w:r w:rsidR="00EC174A">
        <w:rPr>
          <w:rFonts w:ascii="Palatino Linotype" w:hAnsi="Palatino Linotype" w:cs="Arial"/>
        </w:rPr>
        <w:t xml:space="preserve"> en todos</w:t>
      </w:r>
      <w:r w:rsidR="00484DE9">
        <w:rPr>
          <w:rFonts w:ascii="Palatino Linotype" w:hAnsi="Palatino Linotype" w:cs="Arial"/>
        </w:rPr>
        <w:t xml:space="preserve"> </w:t>
      </w:r>
      <w:r w:rsidR="00373004" w:rsidRPr="00623957">
        <w:rPr>
          <w:rFonts w:ascii="Palatino Linotype" w:hAnsi="Palatino Linotype" w:cs="Arial"/>
        </w:rPr>
        <w:t>lo siguiente:</w:t>
      </w:r>
    </w:p>
    <w:p w14:paraId="2A445AA7" w14:textId="182DFFF0" w:rsidR="00AF1084" w:rsidRDefault="00AF1084" w:rsidP="00AF1084">
      <w:pPr>
        <w:spacing w:before="240" w:after="240" w:line="360" w:lineRule="auto"/>
        <w:jc w:val="both"/>
        <w:rPr>
          <w:rFonts w:ascii="Palatino Linotype" w:hAnsi="Palatino Linotype" w:cs="Arial"/>
          <w:b/>
        </w:rPr>
      </w:pPr>
      <w:r w:rsidRPr="00A22E55">
        <w:rPr>
          <w:rFonts w:ascii="Palatino Linotype" w:hAnsi="Palatino Linotype" w:cs="Arial"/>
          <w:b/>
        </w:rPr>
        <w:t>a) Acto impugnado</w:t>
      </w:r>
      <w:r w:rsidR="009470D1">
        <w:rPr>
          <w:rFonts w:ascii="Palatino Linotype" w:hAnsi="Palatino Linotype" w:cs="Arial"/>
          <w:b/>
        </w:rPr>
        <w:t xml:space="preserve"> (en todos los recursos):</w:t>
      </w:r>
    </w:p>
    <w:p w14:paraId="1B568ADE" w14:textId="6EBC99B1" w:rsidR="00AF1084" w:rsidRPr="009470D1" w:rsidRDefault="00AF1084" w:rsidP="00437884">
      <w:pPr>
        <w:spacing w:before="240" w:after="240" w:line="360" w:lineRule="auto"/>
        <w:ind w:left="851"/>
        <w:jc w:val="both"/>
        <w:rPr>
          <w:rFonts w:ascii="Palatino Linotype" w:hAnsi="Palatino Linotype" w:cs="Arial"/>
          <w:i/>
          <w:sz w:val="22"/>
          <w:szCs w:val="22"/>
        </w:rPr>
      </w:pPr>
      <w:r w:rsidRPr="009470D1">
        <w:rPr>
          <w:rFonts w:ascii="Palatino Linotype" w:hAnsi="Palatino Linotype" w:cs="Arial"/>
          <w:i/>
          <w:sz w:val="22"/>
          <w:szCs w:val="22"/>
        </w:rPr>
        <w:t>“</w:t>
      </w:r>
      <w:r w:rsidR="009470D1" w:rsidRPr="009470D1">
        <w:rPr>
          <w:rFonts w:ascii="Palatino Linotype" w:hAnsi="Palatino Linotype"/>
          <w:i/>
          <w:color w:val="000000"/>
          <w:sz w:val="22"/>
          <w:szCs w:val="22"/>
        </w:rPr>
        <w:t>No se hace entrega de la información</w:t>
      </w:r>
      <w:r w:rsidRPr="009470D1">
        <w:rPr>
          <w:rFonts w:ascii="Palatino Linotype" w:hAnsi="Palatino Linotype" w:cs="Arial"/>
          <w:i/>
          <w:sz w:val="22"/>
          <w:szCs w:val="22"/>
        </w:rPr>
        <w:t>.” (Sic)</w:t>
      </w:r>
    </w:p>
    <w:p w14:paraId="621A2416" w14:textId="147DA0A7" w:rsidR="00AF1084" w:rsidRDefault="00AF1084" w:rsidP="004B491B">
      <w:pPr>
        <w:spacing w:after="240" w:line="360" w:lineRule="auto"/>
        <w:jc w:val="both"/>
        <w:rPr>
          <w:rFonts w:ascii="Palatino Linotype" w:hAnsi="Palatino Linotype" w:cs="Arial"/>
          <w:b/>
        </w:rPr>
      </w:pPr>
      <w:r w:rsidRPr="00A22E55">
        <w:rPr>
          <w:rFonts w:ascii="Palatino Linotype" w:hAnsi="Palatino Linotype" w:cs="Arial"/>
          <w:b/>
        </w:rPr>
        <w:t xml:space="preserve">b) </w:t>
      </w:r>
      <w:r>
        <w:rPr>
          <w:rFonts w:ascii="Palatino Linotype" w:hAnsi="Palatino Linotype" w:cs="Arial"/>
          <w:b/>
        </w:rPr>
        <w:t xml:space="preserve">Razones o </w:t>
      </w:r>
      <w:r w:rsidR="009470D1">
        <w:rPr>
          <w:rFonts w:ascii="Palatino Linotype" w:hAnsi="Palatino Linotype" w:cs="Arial"/>
          <w:b/>
        </w:rPr>
        <w:t>Motivos de inconformidad:</w:t>
      </w:r>
    </w:p>
    <w:p w14:paraId="0D65C685" w14:textId="56829D8B" w:rsidR="009470D1" w:rsidRPr="00A22E55" w:rsidRDefault="009470D1" w:rsidP="00AF1084">
      <w:pPr>
        <w:spacing w:line="360" w:lineRule="auto"/>
        <w:jc w:val="both"/>
        <w:rPr>
          <w:rFonts w:ascii="Palatino Linotype" w:hAnsi="Palatino Linotype" w:cs="Arial"/>
          <w:b/>
        </w:rPr>
      </w:pPr>
      <w:r>
        <w:rPr>
          <w:rFonts w:ascii="Palatino Linotype" w:hAnsi="Palatino Linotype" w:cs="Arial"/>
          <w:b/>
        </w:rPr>
        <w:t>Recurso de revisión 02179/INFOEM/IP/RR/2018:</w:t>
      </w:r>
    </w:p>
    <w:p w14:paraId="1FE75E19" w14:textId="786137EC" w:rsidR="00AF1084" w:rsidRDefault="00AF1084" w:rsidP="004B491B">
      <w:pPr>
        <w:spacing w:after="240"/>
        <w:ind w:left="851" w:right="900"/>
        <w:jc w:val="both"/>
        <w:rPr>
          <w:rFonts w:ascii="Palatino Linotype" w:hAnsi="Palatino Linotype" w:cs="Arial"/>
          <w:i/>
          <w:sz w:val="22"/>
          <w:szCs w:val="22"/>
        </w:rPr>
      </w:pPr>
      <w:r w:rsidRPr="004B491B">
        <w:rPr>
          <w:rFonts w:ascii="Palatino Linotype" w:hAnsi="Palatino Linotype" w:cs="Arial"/>
          <w:i/>
          <w:sz w:val="22"/>
          <w:szCs w:val="22"/>
        </w:rPr>
        <w:t>“</w:t>
      </w:r>
      <w:r w:rsidR="004B491B" w:rsidRPr="004B491B">
        <w:rPr>
          <w:rFonts w:ascii="Palatino Linotype" w:hAnsi="Palatino Linotype"/>
          <w:i/>
          <w:color w:val="000000"/>
          <w:sz w:val="22"/>
          <w:szCs w:val="22"/>
        </w:rPr>
        <w:t>Transcurrido el plazo establecido por la ley, el sujeto obligado no hace entrega de la información, aduciendo que se esta generando la misma</w:t>
      </w:r>
      <w:r w:rsidRPr="004B491B">
        <w:rPr>
          <w:rFonts w:ascii="Palatino Linotype" w:hAnsi="Palatino Linotype" w:cs="Arial"/>
          <w:i/>
          <w:sz w:val="22"/>
          <w:szCs w:val="22"/>
        </w:rPr>
        <w:t>.” (Sic)</w:t>
      </w:r>
    </w:p>
    <w:p w14:paraId="3AF52AAB" w14:textId="32C42154" w:rsidR="004B491B" w:rsidRPr="00A22E55" w:rsidRDefault="004B491B" w:rsidP="004B491B">
      <w:pPr>
        <w:spacing w:line="360" w:lineRule="auto"/>
        <w:jc w:val="both"/>
        <w:rPr>
          <w:rFonts w:ascii="Palatino Linotype" w:hAnsi="Palatino Linotype" w:cs="Arial"/>
          <w:b/>
        </w:rPr>
      </w:pPr>
      <w:r>
        <w:rPr>
          <w:rFonts w:ascii="Palatino Linotype" w:hAnsi="Palatino Linotype" w:cs="Arial"/>
          <w:b/>
        </w:rPr>
        <w:t>Recurso de revisión 02190/INFOEM/IP/RR/2018:</w:t>
      </w:r>
    </w:p>
    <w:p w14:paraId="62F3B860" w14:textId="08FEB6EA" w:rsidR="004B491B" w:rsidRDefault="004B491B" w:rsidP="004B491B">
      <w:pPr>
        <w:spacing w:after="240"/>
        <w:ind w:left="851" w:right="900"/>
        <w:jc w:val="both"/>
        <w:rPr>
          <w:rFonts w:ascii="Palatino Linotype" w:hAnsi="Palatino Linotype" w:cs="Arial"/>
          <w:i/>
          <w:sz w:val="22"/>
          <w:szCs w:val="22"/>
        </w:rPr>
      </w:pPr>
      <w:r w:rsidRPr="004B491B">
        <w:rPr>
          <w:rFonts w:ascii="Palatino Linotype" w:hAnsi="Palatino Linotype" w:cs="Arial"/>
          <w:i/>
          <w:sz w:val="22"/>
          <w:szCs w:val="22"/>
        </w:rPr>
        <w:t>“</w:t>
      </w:r>
      <w:r w:rsidRPr="004B491B">
        <w:rPr>
          <w:rFonts w:ascii="Palatino Linotype" w:hAnsi="Palatino Linotype"/>
          <w:i/>
          <w:color w:val="000000"/>
          <w:sz w:val="22"/>
          <w:szCs w:val="22"/>
        </w:rPr>
        <w:t>Transcurrido el plazo establecido por la ley, el sujeto obligado no hace entrega de la información, alegando que "se está generando los archivos correspondientes"</w:t>
      </w:r>
      <w:r w:rsidRPr="004B491B">
        <w:rPr>
          <w:rFonts w:ascii="Palatino Linotype" w:hAnsi="Palatino Linotype" w:cs="Arial"/>
          <w:i/>
          <w:sz w:val="22"/>
          <w:szCs w:val="22"/>
        </w:rPr>
        <w:t>.” (Sic)</w:t>
      </w:r>
    </w:p>
    <w:p w14:paraId="25657880" w14:textId="50F8B7F5" w:rsidR="004B491B" w:rsidRPr="00A22E55" w:rsidRDefault="004B491B" w:rsidP="004B491B">
      <w:pPr>
        <w:spacing w:line="360" w:lineRule="auto"/>
        <w:jc w:val="both"/>
        <w:rPr>
          <w:rFonts w:ascii="Palatino Linotype" w:hAnsi="Palatino Linotype" w:cs="Arial"/>
          <w:b/>
        </w:rPr>
      </w:pPr>
      <w:r>
        <w:rPr>
          <w:rFonts w:ascii="Palatino Linotype" w:hAnsi="Palatino Linotype" w:cs="Arial"/>
          <w:b/>
        </w:rPr>
        <w:t>Recurso de revisión 02315/INFOEM/IP/RR/2018:</w:t>
      </w:r>
    </w:p>
    <w:p w14:paraId="6D746577" w14:textId="44225848" w:rsidR="004B491B" w:rsidRPr="004B491B" w:rsidRDefault="004B491B" w:rsidP="004B491B">
      <w:pPr>
        <w:spacing w:after="240"/>
        <w:ind w:left="851" w:right="900"/>
        <w:jc w:val="both"/>
        <w:rPr>
          <w:rFonts w:ascii="Palatino Linotype" w:hAnsi="Palatino Linotype" w:cs="Arial"/>
          <w:i/>
          <w:sz w:val="22"/>
          <w:szCs w:val="22"/>
        </w:rPr>
      </w:pPr>
      <w:r w:rsidRPr="004B491B">
        <w:rPr>
          <w:rFonts w:ascii="Palatino Linotype" w:hAnsi="Palatino Linotype" w:cs="Arial"/>
          <w:i/>
          <w:sz w:val="22"/>
          <w:szCs w:val="22"/>
        </w:rPr>
        <w:t>“</w:t>
      </w:r>
      <w:r w:rsidRPr="004B491B">
        <w:rPr>
          <w:rFonts w:ascii="Palatino Linotype" w:hAnsi="Palatino Linotype"/>
          <w:i/>
          <w:color w:val="000000"/>
          <w:sz w:val="22"/>
          <w:szCs w:val="22"/>
        </w:rPr>
        <w:t>El sujeto obligado niega la información solicitada, manifestando únicamente que "se encuentra en proceso de creación".</w:t>
      </w:r>
      <w:r w:rsidRPr="004B491B">
        <w:rPr>
          <w:rFonts w:ascii="Palatino Linotype" w:hAnsi="Palatino Linotype" w:cs="Arial"/>
          <w:i/>
          <w:sz w:val="22"/>
          <w:szCs w:val="22"/>
        </w:rPr>
        <w:t>” (Sic)</w:t>
      </w:r>
    </w:p>
    <w:p w14:paraId="0A5A3371" w14:textId="3937ADDD" w:rsidR="00E235A5" w:rsidRDefault="00057A30" w:rsidP="006429C9">
      <w:pPr>
        <w:spacing w:before="240" w:after="240" w:line="360" w:lineRule="auto"/>
        <w:jc w:val="both"/>
        <w:rPr>
          <w:rFonts w:ascii="Palatino Linotype" w:hAnsi="Palatino Linotype"/>
        </w:rPr>
      </w:pPr>
      <w:r>
        <w:rPr>
          <w:rFonts w:ascii="Palatino Linotype" w:hAnsi="Palatino Linotype"/>
          <w:b/>
        </w:rPr>
        <w:t>4</w:t>
      </w:r>
      <w:r w:rsidR="00E235A5">
        <w:rPr>
          <w:rFonts w:ascii="Palatino Linotype" w:hAnsi="Palatino Linotype"/>
          <w:b/>
        </w:rPr>
        <w:t xml:space="preserve">. Turno. </w:t>
      </w:r>
      <w:r w:rsidR="00E235A5" w:rsidRPr="006275FB">
        <w:rPr>
          <w:rFonts w:ascii="Palatino Linotype" w:hAnsi="Palatino Linotype"/>
        </w:rPr>
        <w:t xml:space="preserve">De conformidad con el artículo </w:t>
      </w:r>
      <w:r w:rsidR="00E235A5">
        <w:rPr>
          <w:rFonts w:ascii="Palatino Linotype" w:hAnsi="Palatino Linotype"/>
        </w:rPr>
        <w:t>185, fracción I</w:t>
      </w:r>
      <w:r w:rsidR="00E235A5" w:rsidRPr="006275FB">
        <w:rPr>
          <w:rFonts w:ascii="Palatino Linotype" w:hAnsi="Palatino Linotype"/>
        </w:rPr>
        <w:t xml:space="preserve"> de la </w:t>
      </w:r>
      <w:r w:rsidR="00E235A5" w:rsidRPr="006275FB">
        <w:rPr>
          <w:rFonts w:ascii="Palatino Linotype" w:hAnsi="Palatino Linotype" w:cs="Arial"/>
        </w:rPr>
        <w:t>Ley de Transparencia y Acceso a la Información Pública del E</w:t>
      </w:r>
      <w:r w:rsidR="00E235A5">
        <w:rPr>
          <w:rFonts w:ascii="Palatino Linotype" w:hAnsi="Palatino Linotype" w:cs="Arial"/>
        </w:rPr>
        <w:t>stado de México y Municipios,</w:t>
      </w:r>
      <w:r w:rsidR="00AF1084">
        <w:rPr>
          <w:rFonts w:ascii="Palatino Linotype" w:hAnsi="Palatino Linotype" w:cs="Arial"/>
        </w:rPr>
        <w:t xml:space="preserve"> </w:t>
      </w:r>
      <w:r w:rsidR="004B491B">
        <w:rPr>
          <w:rFonts w:ascii="Palatino Linotype" w:hAnsi="Palatino Linotype" w:cs="Arial"/>
        </w:rPr>
        <w:t>el</w:t>
      </w:r>
      <w:r w:rsidR="00AF1084" w:rsidRPr="005A3029">
        <w:rPr>
          <w:rFonts w:ascii="Palatino Linotype" w:hAnsi="Palatino Linotype" w:cs="Arial"/>
        </w:rPr>
        <w:t xml:space="preserve"> recurso de revisión número </w:t>
      </w:r>
      <w:r w:rsidR="004B491B">
        <w:rPr>
          <w:rFonts w:ascii="Palatino Linotype" w:hAnsi="Palatino Linotype"/>
          <w:b/>
          <w:lang w:val="es-ES_tradnl"/>
        </w:rPr>
        <w:t>02179</w:t>
      </w:r>
      <w:r w:rsidR="00AF1084" w:rsidRPr="00F91D9E">
        <w:rPr>
          <w:rFonts w:ascii="Palatino Linotype" w:hAnsi="Palatino Linotype"/>
          <w:b/>
          <w:lang w:val="es-ES_tradnl"/>
        </w:rPr>
        <w:t>/INFOEM/IP/RR/2018</w:t>
      </w:r>
      <w:r w:rsidR="00EC174A">
        <w:rPr>
          <w:rFonts w:ascii="Palatino Linotype" w:hAnsi="Palatino Linotype"/>
          <w:b/>
          <w:lang w:val="es-ES_tradnl"/>
        </w:rPr>
        <w:t xml:space="preserve"> </w:t>
      </w:r>
      <w:r w:rsidR="00231A75">
        <w:rPr>
          <w:rFonts w:ascii="Palatino Linotype" w:hAnsi="Palatino Linotype"/>
          <w:lang w:val="es-ES_tradnl"/>
        </w:rPr>
        <w:t xml:space="preserve">fue turnado </w:t>
      </w:r>
      <w:r w:rsidR="00AF1084" w:rsidRPr="009F7D9F">
        <w:rPr>
          <w:rFonts w:ascii="Palatino Linotype" w:hAnsi="Palatino Linotype" w:cs="Arial"/>
        </w:rPr>
        <w:t>al</w:t>
      </w:r>
      <w:r w:rsidR="00AF1084" w:rsidRPr="009F7D9F">
        <w:rPr>
          <w:rFonts w:ascii="Palatino Linotype" w:eastAsia="Calibri" w:hAnsi="Palatino Linotype" w:cs="Arial"/>
        </w:rPr>
        <w:t xml:space="preserve"> Comisionado </w:t>
      </w:r>
      <w:r w:rsidR="00AF1084" w:rsidRPr="009F7D9F">
        <w:rPr>
          <w:rFonts w:ascii="Palatino Linotype" w:eastAsia="Calibri" w:hAnsi="Palatino Linotype" w:cs="Arial"/>
          <w:b/>
        </w:rPr>
        <w:t>Javier Martínez Cruz</w:t>
      </w:r>
      <w:r w:rsidR="004B491B">
        <w:rPr>
          <w:rFonts w:ascii="Palatino Linotype" w:hAnsi="Palatino Linotype" w:cs="Arial"/>
        </w:rPr>
        <w:t xml:space="preserve"> y</w:t>
      </w:r>
      <w:r w:rsidR="00EC174A">
        <w:rPr>
          <w:rFonts w:ascii="Palatino Linotype" w:hAnsi="Palatino Linotype" w:cs="Arial"/>
        </w:rPr>
        <w:t xml:space="preserve"> los</w:t>
      </w:r>
      <w:r w:rsidR="00231A75" w:rsidRPr="00DD4185">
        <w:rPr>
          <w:rFonts w:ascii="Palatino Linotype" w:hAnsi="Palatino Linotype"/>
          <w:lang w:val="es-ES_tradnl"/>
        </w:rPr>
        <w:t xml:space="preserve"> recurso</w:t>
      </w:r>
      <w:r w:rsidR="00EC174A">
        <w:rPr>
          <w:rFonts w:ascii="Palatino Linotype" w:hAnsi="Palatino Linotype"/>
          <w:lang w:val="es-ES_tradnl"/>
        </w:rPr>
        <w:t>s</w:t>
      </w:r>
      <w:r w:rsidR="00231A75" w:rsidRPr="00DD4185">
        <w:rPr>
          <w:rFonts w:ascii="Palatino Linotype" w:hAnsi="Palatino Linotype"/>
          <w:lang w:val="es-ES_tradnl"/>
        </w:rPr>
        <w:t xml:space="preserve"> de revisión</w:t>
      </w:r>
      <w:r w:rsidR="004B491B">
        <w:rPr>
          <w:rFonts w:ascii="Palatino Linotype" w:hAnsi="Palatino Linotype"/>
          <w:b/>
          <w:lang w:val="es-ES_tradnl"/>
        </w:rPr>
        <w:t xml:space="preserve"> 02190</w:t>
      </w:r>
      <w:r w:rsidR="00231A75" w:rsidRPr="00F91D9E">
        <w:rPr>
          <w:rFonts w:ascii="Palatino Linotype" w:hAnsi="Palatino Linotype"/>
          <w:b/>
          <w:lang w:val="es-ES_tradnl"/>
        </w:rPr>
        <w:t>/INFOEM/IP/RR/2018</w:t>
      </w:r>
      <w:r w:rsidR="00EC174A">
        <w:rPr>
          <w:rFonts w:ascii="Palatino Linotype" w:hAnsi="Palatino Linotype"/>
          <w:b/>
          <w:lang w:val="es-ES_tradnl"/>
        </w:rPr>
        <w:t xml:space="preserve">, </w:t>
      </w:r>
      <w:r w:rsidR="004B491B">
        <w:rPr>
          <w:rFonts w:ascii="Palatino Linotype" w:hAnsi="Palatino Linotype"/>
          <w:b/>
          <w:lang w:val="es-ES_tradnl"/>
        </w:rPr>
        <w:t>02315</w:t>
      </w:r>
      <w:r w:rsidR="00EC174A" w:rsidRPr="00F91D9E">
        <w:rPr>
          <w:rFonts w:ascii="Palatino Linotype" w:hAnsi="Palatino Linotype"/>
          <w:b/>
          <w:lang w:val="es-ES_tradnl"/>
        </w:rPr>
        <w:t>/INFOEM/IP/RR/2018</w:t>
      </w:r>
      <w:r w:rsidR="00EC174A">
        <w:rPr>
          <w:rFonts w:ascii="Palatino Linotype" w:hAnsi="Palatino Linotype"/>
          <w:b/>
          <w:lang w:val="es-ES_tradnl"/>
        </w:rPr>
        <w:t xml:space="preserve"> </w:t>
      </w:r>
      <w:r w:rsidR="00234A9A">
        <w:rPr>
          <w:rFonts w:ascii="Palatino Linotype" w:hAnsi="Palatino Linotype" w:cs="Arial"/>
        </w:rPr>
        <w:t>a</w:t>
      </w:r>
      <w:r w:rsidR="00EC174A">
        <w:rPr>
          <w:rFonts w:ascii="Palatino Linotype" w:hAnsi="Palatino Linotype" w:cs="Arial"/>
        </w:rPr>
        <w:t xml:space="preserve"> </w:t>
      </w:r>
      <w:r w:rsidR="00234A9A">
        <w:rPr>
          <w:rFonts w:ascii="Palatino Linotype" w:hAnsi="Palatino Linotype" w:cs="Arial"/>
        </w:rPr>
        <w:t>l</w:t>
      </w:r>
      <w:r w:rsidR="00EC174A">
        <w:rPr>
          <w:rFonts w:ascii="Palatino Linotype" w:hAnsi="Palatino Linotype" w:cs="Arial"/>
        </w:rPr>
        <w:t>a</w:t>
      </w:r>
      <w:r w:rsidR="00EC174A">
        <w:rPr>
          <w:rFonts w:ascii="Palatino Linotype" w:eastAsia="Calibri" w:hAnsi="Palatino Linotype" w:cs="Arial"/>
        </w:rPr>
        <w:t xml:space="preserve"> Comisionada Presidente</w:t>
      </w:r>
      <w:r w:rsidR="00231A75" w:rsidRPr="009F7D9F">
        <w:rPr>
          <w:rFonts w:ascii="Palatino Linotype" w:eastAsia="Calibri" w:hAnsi="Palatino Linotype" w:cs="Arial"/>
        </w:rPr>
        <w:t xml:space="preserve"> </w:t>
      </w:r>
      <w:r w:rsidR="00EC174A">
        <w:rPr>
          <w:rFonts w:ascii="Palatino Linotype" w:eastAsia="Calibri" w:hAnsi="Palatino Linotype" w:cs="Arial"/>
          <w:b/>
        </w:rPr>
        <w:t>Zulema Martínez Sánchez</w:t>
      </w:r>
      <w:r w:rsidR="00EC174A">
        <w:rPr>
          <w:rFonts w:ascii="Palatino Linotype" w:hAnsi="Palatino Linotype"/>
        </w:rPr>
        <w:t>;</w:t>
      </w:r>
      <w:r w:rsidR="00484DE9">
        <w:rPr>
          <w:rFonts w:ascii="Palatino Linotype" w:hAnsi="Palatino Linotype"/>
        </w:rPr>
        <w:t xml:space="preserve"> </w:t>
      </w:r>
      <w:r w:rsidR="00E235A5" w:rsidRPr="006275FB">
        <w:rPr>
          <w:rFonts w:ascii="Palatino Linotype" w:hAnsi="Palatino Linotype"/>
        </w:rPr>
        <w:t xml:space="preserve">a efecto de </w:t>
      </w:r>
      <w:r w:rsidR="00367C07">
        <w:rPr>
          <w:rFonts w:ascii="Palatino Linotype" w:hAnsi="Palatino Linotype"/>
        </w:rPr>
        <w:t>que analizara</w:t>
      </w:r>
      <w:r w:rsidR="001D3DA7">
        <w:rPr>
          <w:rFonts w:ascii="Palatino Linotype" w:hAnsi="Palatino Linotype"/>
        </w:rPr>
        <w:t>n</w:t>
      </w:r>
      <w:r w:rsidR="00367C07">
        <w:rPr>
          <w:rFonts w:ascii="Palatino Linotype" w:hAnsi="Palatino Linotype"/>
        </w:rPr>
        <w:t xml:space="preserve"> sobre su admisión o su desechamiento</w:t>
      </w:r>
      <w:r w:rsidR="00E235A5" w:rsidRPr="006275FB">
        <w:rPr>
          <w:rFonts w:ascii="Palatino Linotype" w:hAnsi="Palatino Linotype"/>
        </w:rPr>
        <w:t>.</w:t>
      </w:r>
    </w:p>
    <w:p w14:paraId="76CC8E4A" w14:textId="47A21B06" w:rsidR="006429C9" w:rsidRDefault="00057A30" w:rsidP="006429C9">
      <w:pPr>
        <w:spacing w:before="240" w:after="240" w:line="360" w:lineRule="auto"/>
        <w:jc w:val="both"/>
        <w:rPr>
          <w:rFonts w:ascii="Palatino Linotype" w:hAnsi="Palatino Linotype" w:cs="Arial"/>
        </w:rPr>
      </w:pPr>
      <w:r>
        <w:rPr>
          <w:rFonts w:ascii="Palatino Linotype" w:hAnsi="Palatino Linotype" w:cs="Arial"/>
          <w:b/>
        </w:rPr>
        <w:lastRenderedPageBreak/>
        <w:t>5</w:t>
      </w:r>
      <w:r w:rsidR="006429C9" w:rsidRPr="00A22E55">
        <w:rPr>
          <w:rFonts w:ascii="Palatino Linotype" w:hAnsi="Palatino Linotype" w:cs="Arial"/>
          <w:b/>
        </w:rPr>
        <w:t xml:space="preserve">. </w:t>
      </w:r>
      <w:r w:rsidR="006429C9">
        <w:rPr>
          <w:rFonts w:ascii="Palatino Linotype" w:hAnsi="Palatino Linotype" w:cs="Arial"/>
          <w:b/>
        </w:rPr>
        <w:t>Admisión de</w:t>
      </w:r>
      <w:r w:rsidR="004B491B">
        <w:rPr>
          <w:rFonts w:ascii="Palatino Linotype" w:hAnsi="Palatino Linotype" w:cs="Arial"/>
          <w:b/>
        </w:rPr>
        <w:t xml:space="preserve"> </w:t>
      </w:r>
      <w:r w:rsidR="006429C9">
        <w:rPr>
          <w:rFonts w:ascii="Palatino Linotype" w:hAnsi="Palatino Linotype" w:cs="Arial"/>
          <w:b/>
        </w:rPr>
        <w:t>l</w:t>
      </w:r>
      <w:r w:rsidR="004B491B">
        <w:rPr>
          <w:rFonts w:ascii="Palatino Linotype" w:hAnsi="Palatino Linotype" w:cs="Arial"/>
          <w:b/>
        </w:rPr>
        <w:t>os</w:t>
      </w:r>
      <w:r w:rsidR="006429C9">
        <w:rPr>
          <w:rFonts w:ascii="Palatino Linotype" w:hAnsi="Palatino Linotype" w:cs="Arial"/>
          <w:b/>
        </w:rPr>
        <w:t xml:space="preserve"> recurso</w:t>
      </w:r>
      <w:r w:rsidR="004B491B">
        <w:rPr>
          <w:rFonts w:ascii="Palatino Linotype" w:hAnsi="Palatino Linotype" w:cs="Arial"/>
          <w:b/>
        </w:rPr>
        <w:t>s</w:t>
      </w:r>
      <w:r w:rsidR="006429C9">
        <w:rPr>
          <w:rFonts w:ascii="Palatino Linotype" w:hAnsi="Palatino Linotype" w:cs="Arial"/>
          <w:b/>
        </w:rPr>
        <w:t xml:space="preserve"> de revisión: </w:t>
      </w:r>
      <w:r w:rsidR="00EC174A">
        <w:rPr>
          <w:rFonts w:ascii="Palatino Linotype" w:hAnsi="Palatino Linotype" w:cs="Arial"/>
        </w:rPr>
        <w:t>En fecha</w:t>
      </w:r>
      <w:r w:rsidR="004B491B">
        <w:rPr>
          <w:rFonts w:ascii="Palatino Linotype" w:hAnsi="Palatino Linotype" w:cs="Arial"/>
        </w:rPr>
        <w:t>s</w:t>
      </w:r>
      <w:r w:rsidR="00234A9A">
        <w:rPr>
          <w:rFonts w:ascii="Palatino Linotype" w:hAnsi="Palatino Linotype" w:cs="Arial"/>
        </w:rPr>
        <w:t xml:space="preserve"> </w:t>
      </w:r>
      <w:r w:rsidR="004B491B">
        <w:rPr>
          <w:rFonts w:ascii="Palatino Linotype" w:hAnsi="Palatino Linotype" w:cs="Arial"/>
        </w:rPr>
        <w:t>quince y veintisiete</w:t>
      </w:r>
      <w:r w:rsidR="00234A9A">
        <w:rPr>
          <w:rFonts w:ascii="Palatino Linotype" w:hAnsi="Palatino Linotype" w:cs="Arial"/>
        </w:rPr>
        <w:t xml:space="preserve"> </w:t>
      </w:r>
      <w:r w:rsidR="0032063B">
        <w:rPr>
          <w:rFonts w:ascii="Palatino Linotype" w:hAnsi="Palatino Linotype" w:cs="Arial"/>
        </w:rPr>
        <w:t xml:space="preserve">de </w:t>
      </w:r>
      <w:r w:rsidR="00EC174A">
        <w:rPr>
          <w:rFonts w:ascii="Palatino Linotype" w:hAnsi="Palatino Linotype" w:cs="Arial"/>
        </w:rPr>
        <w:t>junio</w:t>
      </w:r>
      <w:r w:rsidR="001D3DA7">
        <w:rPr>
          <w:rFonts w:ascii="Palatino Linotype" w:hAnsi="Palatino Linotype" w:cs="Arial"/>
        </w:rPr>
        <w:t xml:space="preserve"> </w:t>
      </w:r>
      <w:r w:rsidR="0032063B">
        <w:rPr>
          <w:rFonts w:ascii="Palatino Linotype" w:hAnsi="Palatino Linotype" w:cs="Arial"/>
        </w:rPr>
        <w:t>del</w:t>
      </w:r>
      <w:r w:rsidR="001D3DA7">
        <w:rPr>
          <w:rFonts w:ascii="Palatino Linotype" w:hAnsi="Palatino Linotype" w:cs="Arial"/>
        </w:rPr>
        <w:t xml:space="preserve"> </w:t>
      </w:r>
      <w:r w:rsidR="00231A75">
        <w:rPr>
          <w:rFonts w:ascii="Palatino Linotype" w:hAnsi="Palatino Linotype" w:cs="Arial"/>
        </w:rPr>
        <w:t xml:space="preserve">año </w:t>
      </w:r>
      <w:r w:rsidR="001D3DA7">
        <w:rPr>
          <w:rFonts w:ascii="Palatino Linotype" w:hAnsi="Palatino Linotype" w:cs="Arial"/>
        </w:rPr>
        <w:t>dos mil dieciocho</w:t>
      </w:r>
      <w:r w:rsidR="0032063B">
        <w:rPr>
          <w:rFonts w:ascii="Palatino Linotype" w:hAnsi="Palatino Linotype" w:cs="Arial"/>
        </w:rPr>
        <w:t>,</w:t>
      </w:r>
      <w:r w:rsidR="006429C9">
        <w:rPr>
          <w:rFonts w:ascii="Palatino Linotype" w:hAnsi="Palatino Linotype" w:cs="Arial"/>
        </w:rPr>
        <w:t xml:space="preserve"> </w:t>
      </w:r>
      <w:r w:rsidR="001D3DA7">
        <w:rPr>
          <w:rFonts w:ascii="Palatino Linotype" w:hAnsi="Palatino Linotype" w:cs="Arial"/>
        </w:rPr>
        <w:t>se admitieron a trámite los</w:t>
      </w:r>
      <w:r w:rsidR="001D3DA7" w:rsidRPr="005A3029">
        <w:rPr>
          <w:rFonts w:ascii="Palatino Linotype" w:hAnsi="Palatino Linotype" w:cs="Arial"/>
        </w:rPr>
        <w:t xml:space="preserve"> recurso</w:t>
      </w:r>
      <w:r w:rsidR="001D3DA7">
        <w:rPr>
          <w:rFonts w:ascii="Palatino Linotype" w:hAnsi="Palatino Linotype" w:cs="Arial"/>
        </w:rPr>
        <w:t>s</w:t>
      </w:r>
      <w:r w:rsidR="001D3DA7" w:rsidRPr="005A3029">
        <w:rPr>
          <w:rFonts w:ascii="Palatino Linotype" w:hAnsi="Palatino Linotype" w:cs="Arial"/>
        </w:rPr>
        <w:t xml:space="preserve"> de revisión</w:t>
      </w:r>
      <w:r w:rsidR="006429C9">
        <w:rPr>
          <w:rFonts w:ascii="Palatino Linotype" w:hAnsi="Palatino Linotype" w:cs="Arial"/>
        </w:rPr>
        <w:t xml:space="preserve"> que ahora se resuelve</w:t>
      </w:r>
      <w:r w:rsidR="001D3DA7">
        <w:rPr>
          <w:rFonts w:ascii="Palatino Linotype" w:hAnsi="Palatino Linotype" w:cs="Arial"/>
        </w:rPr>
        <w:t>n</w:t>
      </w:r>
      <w:r w:rsidR="006429C9">
        <w:rPr>
          <w:rFonts w:ascii="Palatino Linotype" w:hAnsi="Palatino Linotype" w:cs="Arial"/>
        </w:rPr>
        <w:t>, dando un plazo máximo de siete días hábiles para que las partes manifestaran lo que a su derecho resultara conveniente, ofrecieran pruebas, manifestaran alegatos y el Sujeto Obligado presentara su informe justificado.</w:t>
      </w:r>
    </w:p>
    <w:p w14:paraId="6AFDDF6E" w14:textId="303E35CF" w:rsidR="001D3DA7" w:rsidRPr="00B23F36" w:rsidRDefault="001D3DA7" w:rsidP="001D3DA7">
      <w:pPr>
        <w:pStyle w:val="Encabezado"/>
        <w:spacing w:before="240" w:after="240" w:line="360" w:lineRule="auto"/>
        <w:jc w:val="both"/>
        <w:rPr>
          <w:rFonts w:ascii="Palatino Linotype" w:eastAsia="MS Mincho" w:hAnsi="Palatino Linotype" w:cs="Times New Roman"/>
        </w:rPr>
      </w:pPr>
      <w:r w:rsidRPr="00B23F36">
        <w:rPr>
          <w:rFonts w:ascii="Palatino Linotype" w:hAnsi="Palatino Linotype" w:cs="Arial"/>
          <w:b/>
        </w:rPr>
        <w:t xml:space="preserve">6. Acumulación de los recursos de revisión. </w:t>
      </w:r>
      <w:r w:rsidRPr="00B23F36">
        <w:rPr>
          <w:rFonts w:ascii="Palatino Linotype" w:hAnsi="Palatino Linotype" w:cs="Arial"/>
        </w:rPr>
        <w:t xml:space="preserve">El Pleno de este Órgano Autónomo, en la </w:t>
      </w:r>
      <w:r w:rsidR="00EC174A">
        <w:rPr>
          <w:rFonts w:ascii="Palatino Linotype" w:hAnsi="Palatino Linotype" w:cs="Arial"/>
        </w:rPr>
        <w:t xml:space="preserve">Vigésima </w:t>
      </w:r>
      <w:r w:rsidR="004B491B">
        <w:rPr>
          <w:rFonts w:ascii="Palatino Linotype" w:hAnsi="Palatino Linotype" w:cs="Arial"/>
        </w:rPr>
        <w:t>Tercera y Vigésima Cuarta Sesiones Ordinarias,</w:t>
      </w:r>
      <w:r w:rsidR="00567F67">
        <w:rPr>
          <w:rFonts w:ascii="Palatino Linotype" w:hAnsi="Palatino Linotype" w:cs="Arial"/>
        </w:rPr>
        <w:t xml:space="preserve"> del </w:t>
      </w:r>
      <w:r w:rsidR="004B491B">
        <w:rPr>
          <w:rFonts w:ascii="Palatino Linotype" w:hAnsi="Palatino Linotype" w:cs="Arial"/>
        </w:rPr>
        <w:t>veinte y veintisiete</w:t>
      </w:r>
      <w:r w:rsidR="00567F67">
        <w:rPr>
          <w:rFonts w:ascii="Palatino Linotype" w:hAnsi="Palatino Linotype" w:cs="Arial"/>
        </w:rPr>
        <w:t xml:space="preserve"> de </w:t>
      </w:r>
      <w:r w:rsidR="00EC174A">
        <w:rPr>
          <w:rFonts w:ascii="Palatino Linotype" w:hAnsi="Palatino Linotype" w:cs="Arial"/>
        </w:rPr>
        <w:t>junio</w:t>
      </w:r>
      <w:r w:rsidR="00567F67">
        <w:rPr>
          <w:rFonts w:ascii="Palatino Linotype" w:hAnsi="Palatino Linotype" w:cs="Arial"/>
        </w:rPr>
        <w:t xml:space="preserve"> de dos mil dieciocho</w:t>
      </w:r>
      <w:r w:rsidR="004B491B">
        <w:rPr>
          <w:rFonts w:ascii="Palatino Linotype" w:hAnsi="Palatino Linotype" w:cs="Arial"/>
        </w:rPr>
        <w:t>,</w:t>
      </w:r>
      <w:r w:rsidR="00567F67">
        <w:rPr>
          <w:rFonts w:ascii="Palatino Linotype" w:hAnsi="Palatino Linotype" w:cs="Arial"/>
        </w:rPr>
        <w:t xml:space="preserve"> </w:t>
      </w:r>
      <w:r w:rsidR="00567F67" w:rsidRPr="00B23F36">
        <w:rPr>
          <w:rFonts w:ascii="Palatino Linotype" w:hAnsi="Palatino Linotype" w:cs="Arial"/>
        </w:rPr>
        <w:t>ordenó la acumulación de los</w:t>
      </w:r>
      <w:r w:rsidR="00567F67">
        <w:rPr>
          <w:rFonts w:ascii="Palatino Linotype" w:hAnsi="Palatino Linotype" w:cs="Arial"/>
        </w:rPr>
        <w:t xml:space="preserve"> recursos</w:t>
      </w:r>
      <w:r w:rsidR="00234A9A">
        <w:rPr>
          <w:rFonts w:ascii="Palatino Linotype" w:hAnsi="Palatino Linotype"/>
          <w:b/>
        </w:rPr>
        <w:t xml:space="preserve"> </w:t>
      </w:r>
      <w:r w:rsidR="00234A9A" w:rsidRPr="00234A9A">
        <w:rPr>
          <w:rFonts w:ascii="Palatino Linotype" w:hAnsi="Palatino Linotype"/>
        </w:rPr>
        <w:t>citados</w:t>
      </w:r>
      <w:r w:rsidR="00234A9A">
        <w:rPr>
          <w:rFonts w:ascii="Palatino Linotype" w:hAnsi="Palatino Linotype" w:cs="Arial"/>
          <w:b/>
        </w:rPr>
        <w:t>,</w:t>
      </w:r>
      <w:r w:rsidR="00567F67">
        <w:rPr>
          <w:rFonts w:ascii="Palatino Linotype" w:hAnsi="Palatino Linotype" w:cs="Arial"/>
          <w:b/>
        </w:rPr>
        <w:t xml:space="preserve"> </w:t>
      </w:r>
      <w:r w:rsidR="00567F67" w:rsidRPr="00567F67">
        <w:rPr>
          <w:rFonts w:ascii="Palatino Linotype" w:hAnsi="Palatino Linotype" w:cs="Arial"/>
        </w:rPr>
        <w:t>así como</w:t>
      </w:r>
      <w:r w:rsidRPr="00B23F36">
        <w:rPr>
          <w:rFonts w:ascii="Palatino Linotype" w:hAnsi="Palatino Linotype" w:cs="Arial"/>
        </w:rPr>
        <w:t xml:space="preserve"> el turno de los mismos al Comisionado </w:t>
      </w:r>
      <w:r w:rsidRPr="00B23F36">
        <w:rPr>
          <w:rFonts w:ascii="Palatino Linotype" w:hAnsi="Palatino Linotype" w:cs="Arial"/>
          <w:b/>
        </w:rPr>
        <w:t>Javier Martínez Cruz</w:t>
      </w:r>
      <w:r w:rsidRPr="00B23F36">
        <w:rPr>
          <w:rFonts w:ascii="Palatino Linotype" w:hAnsi="Palatino Linotype" w:cs="Arial"/>
        </w:rPr>
        <w:t xml:space="preserve"> para que formulara y presentara el proyecto de resolución correspondiente, de conformidad </w:t>
      </w:r>
      <w:r w:rsidRPr="00B23F36">
        <w:rPr>
          <w:rFonts w:ascii="Palatino Linotype" w:eastAsia="MS Mincho" w:hAnsi="Palatino Linotype" w:cs="Arial"/>
        </w:rPr>
        <w:t xml:space="preserve">con lo dispuesto en el artículo 18 del </w:t>
      </w:r>
      <w:r w:rsidRPr="00B23F36">
        <w:rPr>
          <w:rFonts w:ascii="Palatino Linotype" w:eastAsia="MS Mincho" w:hAnsi="Palatino Linotype" w:cs="Arial"/>
          <w:lang w:val="es-ES"/>
        </w:rPr>
        <w:t xml:space="preserve">Código de Procedimientos Administrativos del Estado de México, de aplicación supletoria en términos del </w:t>
      </w:r>
      <w:r w:rsidRPr="00B23F36">
        <w:rPr>
          <w:rFonts w:ascii="Palatino Linotype" w:eastAsia="MS Mincho" w:hAnsi="Palatino Linotype" w:cs="Arial"/>
        </w:rPr>
        <w:t xml:space="preserve">artículo 195 de </w:t>
      </w:r>
      <w:r w:rsidRPr="00B23F36">
        <w:rPr>
          <w:rFonts w:ascii="Palatino Linotype" w:eastAsia="MS Mincho" w:hAnsi="Palatino Linotype" w:cs="Times New Roman"/>
        </w:rPr>
        <w:t>la Ley de Transparencia y Acceso a la Información Pública del Estado de México y Municipios en vigor, que a la letra señalan:</w:t>
      </w:r>
    </w:p>
    <w:p w14:paraId="28717546" w14:textId="77777777" w:rsidR="001D3DA7" w:rsidRPr="00B23F36" w:rsidRDefault="001D3DA7" w:rsidP="001D3DA7">
      <w:pPr>
        <w:spacing w:after="240"/>
        <w:ind w:left="851" w:right="902"/>
        <w:jc w:val="both"/>
        <w:rPr>
          <w:rFonts w:ascii="Palatino Linotype" w:hAnsi="Palatino Linotype" w:cs="Arial"/>
          <w:b/>
          <w:i/>
          <w:sz w:val="22"/>
          <w:szCs w:val="22"/>
          <w:lang w:val="es-MX"/>
        </w:rPr>
      </w:pPr>
      <w:r w:rsidRPr="00B23F36">
        <w:rPr>
          <w:rFonts w:ascii="Palatino Linotype" w:hAnsi="Palatino Linotype" w:cs="Arial"/>
          <w:b/>
          <w:i/>
          <w:sz w:val="22"/>
          <w:szCs w:val="22"/>
          <w:lang w:val="es-MX"/>
        </w:rPr>
        <w:t>Código de Procedimientos Administrativos del Estado de México</w:t>
      </w:r>
    </w:p>
    <w:p w14:paraId="23ACD114" w14:textId="77777777" w:rsidR="001D3DA7" w:rsidRPr="00B23F36" w:rsidRDefault="001D3DA7" w:rsidP="001D3DA7">
      <w:pPr>
        <w:spacing w:after="240"/>
        <w:ind w:left="851" w:right="902"/>
        <w:jc w:val="both"/>
        <w:rPr>
          <w:rFonts w:ascii="Palatino Linotype" w:hAnsi="Palatino Linotype" w:cs="Arial"/>
          <w:i/>
          <w:sz w:val="22"/>
          <w:szCs w:val="22"/>
          <w:lang w:val="es-MX"/>
        </w:rPr>
      </w:pPr>
      <w:r w:rsidRPr="00B23F36">
        <w:rPr>
          <w:rFonts w:ascii="Palatino Linotype" w:hAnsi="Palatino Linotype" w:cs="Arial"/>
          <w:i/>
          <w:sz w:val="22"/>
          <w:szCs w:val="22"/>
          <w:lang w:val="es-MX"/>
        </w:rPr>
        <w:t>“</w:t>
      </w:r>
      <w:r w:rsidRPr="00B23F36">
        <w:rPr>
          <w:rFonts w:ascii="Palatino Linotype" w:hAnsi="Palatino Linotype" w:cs="Arial"/>
          <w:b/>
          <w:i/>
          <w:sz w:val="22"/>
          <w:szCs w:val="22"/>
          <w:lang w:val="es-MX"/>
        </w:rPr>
        <w:t>Artículo 18</w:t>
      </w:r>
      <w:r w:rsidRPr="00B23F36">
        <w:rPr>
          <w:rFonts w:ascii="Palatino Linotype" w:hAnsi="Palatino Linotype" w:cs="Arial"/>
          <w:i/>
          <w:sz w:val="22"/>
          <w:szCs w:val="22"/>
          <w:lang w:val="es-MX"/>
        </w:rPr>
        <w:t xml:space="preserve">.- </w:t>
      </w:r>
      <w:r w:rsidRPr="00B23F36">
        <w:rPr>
          <w:rFonts w:ascii="Palatino Linotype" w:hAnsi="Palatino Linotype" w:cs="Arial"/>
          <w:b/>
          <w:i/>
          <w:sz w:val="22"/>
          <w:szCs w:val="22"/>
          <w:lang w:val="es-MX"/>
        </w:rPr>
        <w:t xml:space="preserve">La autoridad administrativa o el Tribunal </w:t>
      </w:r>
      <w:r w:rsidRPr="00B23F36">
        <w:rPr>
          <w:rFonts w:ascii="Palatino Linotype" w:hAnsi="Palatino Linotype" w:cs="Arial"/>
          <w:b/>
          <w:i/>
          <w:sz w:val="22"/>
          <w:szCs w:val="22"/>
          <w:u w:val="single"/>
          <w:lang w:val="es-MX"/>
        </w:rPr>
        <w:t>acordarán la acumulación de los expedientes</w:t>
      </w:r>
      <w:r w:rsidRPr="00B23F36">
        <w:rPr>
          <w:rFonts w:ascii="Palatino Linotype" w:hAnsi="Palatino Linotype" w:cs="Arial"/>
          <w:b/>
          <w:i/>
          <w:sz w:val="22"/>
          <w:szCs w:val="22"/>
          <w:lang w:val="es-MX"/>
        </w:rPr>
        <w:t xml:space="preserve"> del procedimiento y proceso administrativo que ante ellos se sigan, de oficio</w:t>
      </w:r>
      <w:r w:rsidRPr="00B23F36">
        <w:rPr>
          <w:rFonts w:ascii="Palatino Linotype" w:hAnsi="Palatino Linotype" w:cs="Arial"/>
          <w:i/>
          <w:sz w:val="22"/>
          <w:szCs w:val="22"/>
          <w:lang w:val="es-MX"/>
        </w:rPr>
        <w:t xml:space="preserve"> o a petición de parte, </w:t>
      </w:r>
      <w:r w:rsidRPr="00B23F36">
        <w:rPr>
          <w:rFonts w:ascii="Palatino Linotype" w:hAnsi="Palatino Linotype" w:cs="Arial"/>
          <w:b/>
          <w:i/>
          <w:sz w:val="22"/>
          <w:szCs w:val="22"/>
          <w:u w:val="single"/>
          <w:lang w:val="es-MX"/>
        </w:rPr>
        <w:t>cuando las partes</w:t>
      </w:r>
      <w:r w:rsidRPr="00B23F36">
        <w:rPr>
          <w:rFonts w:ascii="Palatino Linotype" w:hAnsi="Palatino Linotype" w:cs="Arial"/>
          <w:i/>
          <w:sz w:val="22"/>
          <w:szCs w:val="22"/>
          <w:lang w:val="es-MX"/>
        </w:rPr>
        <w:t xml:space="preserve"> o los actos administrativos </w:t>
      </w:r>
      <w:r w:rsidRPr="00B23F36">
        <w:rPr>
          <w:rFonts w:ascii="Palatino Linotype" w:hAnsi="Palatino Linotype" w:cs="Arial"/>
          <w:b/>
          <w:i/>
          <w:sz w:val="22"/>
          <w:szCs w:val="22"/>
          <w:u w:val="single"/>
          <w:lang w:val="es-MX"/>
        </w:rPr>
        <w:t>sean iguales</w:t>
      </w:r>
      <w:r w:rsidRPr="00B23F36">
        <w:rPr>
          <w:rFonts w:ascii="Palatino Linotype" w:hAnsi="Palatino Linotype" w:cs="Arial"/>
          <w:i/>
          <w:sz w:val="22"/>
          <w:szCs w:val="22"/>
          <w:lang w:val="es-MX"/>
        </w:rPr>
        <w:t xml:space="preserve">, se trate de actos conexos o </w:t>
      </w:r>
      <w:r w:rsidRPr="00B23F36">
        <w:rPr>
          <w:rFonts w:ascii="Palatino Linotype" w:hAnsi="Palatino Linotype" w:cs="Arial"/>
          <w:b/>
          <w:i/>
          <w:sz w:val="22"/>
          <w:szCs w:val="22"/>
          <w:u w:val="single"/>
          <w:lang w:val="es-MX"/>
        </w:rPr>
        <w:t>resulte conveniente el trámite unificado de los asuntos, para evitar la emisión de resoluciones contradictorias</w:t>
      </w:r>
      <w:r w:rsidRPr="00B23F36">
        <w:rPr>
          <w:rFonts w:ascii="Palatino Linotype" w:hAnsi="Palatino Linotype" w:cs="Arial"/>
          <w:i/>
          <w:sz w:val="22"/>
          <w:szCs w:val="22"/>
          <w:lang w:val="es-MX"/>
        </w:rPr>
        <w:t>. La misma regla se aplicará, en lo conducente, para la separación de los expedientes.”</w:t>
      </w:r>
    </w:p>
    <w:p w14:paraId="7243DE9B" w14:textId="77777777" w:rsidR="001D3DA7" w:rsidRDefault="001D3DA7" w:rsidP="001D3DA7">
      <w:pPr>
        <w:spacing w:after="240"/>
        <w:ind w:left="851" w:right="902"/>
        <w:jc w:val="both"/>
        <w:rPr>
          <w:rFonts w:ascii="Palatino Linotype" w:hAnsi="Palatino Linotype" w:cs="Arial"/>
          <w:b/>
          <w:i/>
          <w:sz w:val="22"/>
          <w:szCs w:val="22"/>
          <w:lang w:val="es-MX"/>
        </w:rPr>
      </w:pPr>
      <w:r w:rsidRPr="00B23F36">
        <w:rPr>
          <w:rFonts w:ascii="Palatino Linotype" w:hAnsi="Palatino Linotype" w:cs="Arial"/>
          <w:b/>
          <w:i/>
          <w:sz w:val="22"/>
          <w:szCs w:val="22"/>
          <w:lang w:val="es-MX"/>
        </w:rPr>
        <w:t xml:space="preserve">Ley de Transparencia y Acceso a la Información Pública del Estado de México y Municipios </w:t>
      </w:r>
    </w:p>
    <w:p w14:paraId="7A27FC10" w14:textId="30BFC1DE" w:rsidR="001D3DA7" w:rsidRPr="001D3DA7" w:rsidRDefault="001D3DA7" w:rsidP="001D3DA7">
      <w:pPr>
        <w:spacing w:after="240"/>
        <w:ind w:left="851" w:right="902"/>
        <w:jc w:val="both"/>
        <w:rPr>
          <w:rFonts w:ascii="Palatino Linotype" w:hAnsi="Palatino Linotype" w:cs="Arial"/>
          <w:b/>
          <w:i/>
          <w:sz w:val="22"/>
          <w:szCs w:val="22"/>
          <w:lang w:val="es-MX"/>
        </w:rPr>
      </w:pPr>
      <w:r w:rsidRPr="00B23F36">
        <w:rPr>
          <w:rFonts w:ascii="Palatino Linotype" w:hAnsi="Palatino Linotype" w:cs="Arial"/>
          <w:i/>
          <w:sz w:val="22"/>
          <w:szCs w:val="22"/>
          <w:lang w:val="es-MX"/>
        </w:rPr>
        <w:lastRenderedPageBreak/>
        <w:t>“</w:t>
      </w:r>
      <w:r w:rsidRPr="00B23F36">
        <w:rPr>
          <w:rFonts w:ascii="Palatino Linotype" w:hAnsi="Palatino Linotype" w:cs="Arial"/>
          <w:b/>
          <w:i/>
          <w:sz w:val="22"/>
          <w:szCs w:val="22"/>
          <w:lang w:val="es-MX"/>
        </w:rPr>
        <w:t xml:space="preserve">Artículo 195. </w:t>
      </w:r>
      <w:r w:rsidRPr="00B23F36">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14:paraId="243F337A" w14:textId="2F9102F5" w:rsidR="005D7A24" w:rsidRPr="00087F53" w:rsidRDefault="001D3DA7" w:rsidP="004B491B">
      <w:pPr>
        <w:spacing w:after="240" w:line="360" w:lineRule="auto"/>
        <w:jc w:val="both"/>
        <w:rPr>
          <w:rFonts w:ascii="Palatino Linotype" w:hAnsi="Palatino Linotype" w:cs="Arial"/>
          <w:szCs w:val="22"/>
        </w:rPr>
      </w:pPr>
      <w:r w:rsidRPr="00D733BA">
        <w:rPr>
          <w:rFonts w:ascii="Palatino Linotype" w:hAnsi="Palatino Linotype" w:cs="Arial"/>
          <w:b/>
          <w:szCs w:val="22"/>
        </w:rPr>
        <w:t>7</w:t>
      </w:r>
      <w:r w:rsidR="006429C9" w:rsidRPr="00D733BA">
        <w:rPr>
          <w:rFonts w:ascii="Palatino Linotype" w:hAnsi="Palatino Linotype" w:cs="Arial"/>
          <w:b/>
          <w:szCs w:val="22"/>
        </w:rPr>
        <w:t xml:space="preserve">. Manifestaciones: </w:t>
      </w:r>
      <w:r w:rsidR="006429C9" w:rsidRPr="00D733BA">
        <w:rPr>
          <w:rFonts w:ascii="Palatino Linotype" w:hAnsi="Palatino Linotype" w:cs="Arial"/>
          <w:szCs w:val="22"/>
        </w:rPr>
        <w:t>De</w:t>
      </w:r>
      <w:r w:rsidR="0032063B" w:rsidRPr="00D733BA">
        <w:rPr>
          <w:rFonts w:ascii="Palatino Linotype" w:hAnsi="Palatino Linotype" w:cs="Arial"/>
          <w:szCs w:val="22"/>
        </w:rPr>
        <w:t xml:space="preserve"> las constancias que integran los</w:t>
      </w:r>
      <w:r w:rsidR="006429C9" w:rsidRPr="00D733BA">
        <w:rPr>
          <w:rFonts w:ascii="Palatino Linotype" w:hAnsi="Palatino Linotype" w:cs="Arial"/>
          <w:szCs w:val="22"/>
        </w:rPr>
        <w:t xml:space="preserve"> expediente</w:t>
      </w:r>
      <w:r w:rsidR="0032063B" w:rsidRPr="00D733BA">
        <w:rPr>
          <w:rFonts w:ascii="Palatino Linotype" w:hAnsi="Palatino Linotype" w:cs="Arial"/>
          <w:szCs w:val="22"/>
        </w:rPr>
        <w:t>s</w:t>
      </w:r>
      <w:r w:rsidR="006429C9" w:rsidRPr="00D733BA">
        <w:rPr>
          <w:rFonts w:ascii="Palatino Linotype" w:hAnsi="Palatino Linotype" w:cs="Arial"/>
          <w:szCs w:val="22"/>
        </w:rPr>
        <w:t xml:space="preserve"> en que se actúa se advierte que</w:t>
      </w:r>
      <w:r w:rsidR="00840825" w:rsidRPr="00D733BA">
        <w:rPr>
          <w:rFonts w:ascii="Palatino Linotype" w:hAnsi="Palatino Linotype" w:cs="Arial"/>
          <w:szCs w:val="22"/>
        </w:rPr>
        <w:t xml:space="preserve"> </w:t>
      </w:r>
      <w:r w:rsidR="004B491B">
        <w:rPr>
          <w:rFonts w:ascii="Palatino Linotype" w:hAnsi="Palatino Linotype" w:cs="Arial"/>
          <w:szCs w:val="22"/>
        </w:rPr>
        <w:t>las partes</w:t>
      </w:r>
      <w:r w:rsidR="00087F53">
        <w:rPr>
          <w:rFonts w:ascii="Palatino Linotype" w:hAnsi="Palatino Linotype" w:cs="Arial"/>
        </w:rPr>
        <w:t xml:space="preserve"> fue</w:t>
      </w:r>
      <w:r w:rsidR="004B491B">
        <w:rPr>
          <w:rFonts w:ascii="Palatino Linotype" w:hAnsi="Palatino Linotype" w:cs="Arial"/>
        </w:rPr>
        <w:t>ron</w:t>
      </w:r>
      <w:r w:rsidR="00087F53">
        <w:rPr>
          <w:rFonts w:ascii="Palatino Linotype" w:hAnsi="Palatino Linotype" w:cs="Arial"/>
        </w:rPr>
        <w:t xml:space="preserve"> omisa</w:t>
      </w:r>
      <w:r w:rsidR="004B491B">
        <w:rPr>
          <w:rFonts w:ascii="Palatino Linotype" w:hAnsi="Palatino Linotype" w:cs="Arial"/>
        </w:rPr>
        <w:t>s en expresar alegato alguno,</w:t>
      </w:r>
      <w:r w:rsidR="00087F53">
        <w:rPr>
          <w:rFonts w:ascii="Palatino Linotype" w:hAnsi="Palatino Linotype" w:cs="Arial"/>
        </w:rPr>
        <w:t xml:space="preserve"> ofrecer pruebas</w:t>
      </w:r>
      <w:r w:rsidR="004B491B">
        <w:rPr>
          <w:rFonts w:ascii="Palatino Linotype" w:hAnsi="Palatino Linotype" w:cs="Arial"/>
        </w:rPr>
        <w:t xml:space="preserve"> presentar manifestaciones, así como informe justificado,</w:t>
      </w:r>
      <w:r w:rsidR="00087F53">
        <w:rPr>
          <w:rFonts w:ascii="Palatino Linotype" w:hAnsi="Palatino Linotype" w:cs="Arial"/>
        </w:rPr>
        <w:t xml:space="preserve"> en el plazo establecido para tal efecto.</w:t>
      </w:r>
    </w:p>
    <w:p w14:paraId="3038316A" w14:textId="7247CACE" w:rsidR="006429C9" w:rsidRDefault="00FA4741" w:rsidP="006429C9">
      <w:pPr>
        <w:spacing w:before="240" w:after="240" w:line="360" w:lineRule="auto"/>
        <w:jc w:val="both"/>
        <w:rPr>
          <w:rFonts w:ascii="Palatino Linotype" w:hAnsi="Palatino Linotype" w:cs="Arial"/>
          <w:b/>
        </w:rPr>
      </w:pPr>
      <w:r>
        <w:rPr>
          <w:rFonts w:ascii="Palatino Linotype" w:hAnsi="Palatino Linotype"/>
          <w:b/>
        </w:rPr>
        <w:t>8</w:t>
      </w:r>
      <w:r w:rsidR="006429C9">
        <w:rPr>
          <w:rFonts w:ascii="Palatino Linotype" w:hAnsi="Palatino Linotype"/>
          <w:b/>
        </w:rPr>
        <w:t xml:space="preserve">. Cierre de instrucción. </w:t>
      </w:r>
      <w:r w:rsidR="006429C9">
        <w:rPr>
          <w:rFonts w:ascii="Palatino Linotype" w:hAnsi="Palatino Linotype"/>
        </w:rPr>
        <w:t>En fecha</w:t>
      </w:r>
      <w:r w:rsidR="00C45B85">
        <w:rPr>
          <w:rFonts w:ascii="Palatino Linotype" w:hAnsi="Palatino Linotype"/>
        </w:rPr>
        <w:t xml:space="preserve"> </w:t>
      </w:r>
      <w:r w:rsidR="004B491B">
        <w:rPr>
          <w:rFonts w:ascii="Palatino Linotype" w:hAnsi="Palatino Linotype"/>
        </w:rPr>
        <w:t>treinta y uno</w:t>
      </w:r>
      <w:r w:rsidR="00DD1B8B">
        <w:rPr>
          <w:rFonts w:ascii="Palatino Linotype" w:hAnsi="Palatino Linotype"/>
        </w:rPr>
        <w:t xml:space="preserve"> </w:t>
      </w:r>
      <w:r w:rsidR="006429C9" w:rsidRPr="00AF0503">
        <w:rPr>
          <w:rFonts w:ascii="Palatino Linotype" w:hAnsi="Palatino Linotype"/>
        </w:rPr>
        <w:t xml:space="preserve">de </w:t>
      </w:r>
      <w:r w:rsidR="002035A8">
        <w:rPr>
          <w:rFonts w:ascii="Palatino Linotype" w:hAnsi="Palatino Linotype"/>
        </w:rPr>
        <w:t>julio</w:t>
      </w:r>
      <w:r>
        <w:rPr>
          <w:rFonts w:ascii="Palatino Linotype" w:hAnsi="Palatino Linotype"/>
        </w:rPr>
        <w:t xml:space="preserve"> </w:t>
      </w:r>
      <w:r w:rsidR="004A32A1">
        <w:rPr>
          <w:rFonts w:ascii="Palatino Linotype" w:hAnsi="Palatino Linotype"/>
        </w:rPr>
        <w:t>de</w:t>
      </w:r>
      <w:r w:rsidR="00231A75">
        <w:rPr>
          <w:rFonts w:ascii="Palatino Linotype" w:hAnsi="Palatino Linotype"/>
        </w:rPr>
        <w:t xml:space="preserve"> </w:t>
      </w:r>
      <w:r>
        <w:rPr>
          <w:rFonts w:ascii="Palatino Linotype" w:hAnsi="Palatino Linotype"/>
        </w:rPr>
        <w:t>dos mil dieciocho</w:t>
      </w:r>
      <w:r w:rsidR="00EB0549">
        <w:rPr>
          <w:rFonts w:ascii="Palatino Linotype" w:hAnsi="Palatino Linotype"/>
        </w:rPr>
        <w:t xml:space="preserve"> el Comisionado ponente </w:t>
      </w:r>
      <w:r w:rsidR="006429C9">
        <w:rPr>
          <w:rFonts w:ascii="Palatino Linotype" w:hAnsi="Palatino Linotype"/>
        </w:rPr>
        <w:t>determinó el cierre de instrucción</w:t>
      </w:r>
      <w:r>
        <w:rPr>
          <w:rFonts w:ascii="Palatino Linotype" w:hAnsi="Palatino Linotype"/>
        </w:rPr>
        <w:t xml:space="preserve"> en los</w:t>
      </w:r>
      <w:r w:rsidR="000A297C">
        <w:rPr>
          <w:rFonts w:ascii="Palatino Linotype" w:hAnsi="Palatino Linotype"/>
        </w:rPr>
        <w:t xml:space="preserve"> recurso</w:t>
      </w:r>
      <w:r>
        <w:rPr>
          <w:rFonts w:ascii="Palatino Linotype" w:hAnsi="Palatino Linotype"/>
        </w:rPr>
        <w:t>s</w:t>
      </w:r>
      <w:r w:rsidR="000A297C">
        <w:rPr>
          <w:rFonts w:ascii="Palatino Linotype" w:hAnsi="Palatino Linotype"/>
        </w:rPr>
        <w:t xml:space="preserve"> de revisión,</w:t>
      </w:r>
      <w:r w:rsidR="006429C9">
        <w:rPr>
          <w:rFonts w:ascii="Palatino Linotype" w:hAnsi="Palatino Linotype"/>
        </w:rPr>
        <w:t xml:space="preserve"> en términos de la fracción VI  del artículo 18</w:t>
      </w:r>
      <w:r w:rsidR="000B30DE">
        <w:rPr>
          <w:rFonts w:ascii="Palatino Linotype" w:hAnsi="Palatino Linotype"/>
        </w:rPr>
        <w:t>5 de la Ley de Transparencia y A</w:t>
      </w:r>
      <w:r w:rsidR="006429C9">
        <w:rPr>
          <w:rFonts w:ascii="Palatino Linotype" w:hAnsi="Palatino Linotype"/>
        </w:rPr>
        <w:t xml:space="preserve">cceso a </w:t>
      </w:r>
      <w:r w:rsidR="000B30DE">
        <w:rPr>
          <w:rFonts w:ascii="Palatino Linotype" w:hAnsi="Palatino Linotype"/>
        </w:rPr>
        <w:t>la I</w:t>
      </w:r>
      <w:r w:rsidR="006429C9">
        <w:rPr>
          <w:rFonts w:ascii="Palatino Linotype" w:hAnsi="Palatino Linotype"/>
        </w:rPr>
        <w:t>nformación Pública del Estado de México y Municipios.</w:t>
      </w:r>
    </w:p>
    <w:p w14:paraId="3E235E74" w14:textId="77777777" w:rsidR="00373004" w:rsidRPr="00623957" w:rsidRDefault="00373004" w:rsidP="00373004">
      <w:pPr>
        <w:pStyle w:val="Prrafodelista"/>
        <w:numPr>
          <w:ilvl w:val="0"/>
          <w:numId w:val="3"/>
        </w:numPr>
        <w:spacing w:before="240" w:after="240" w:line="360" w:lineRule="auto"/>
        <w:ind w:left="720"/>
        <w:contextualSpacing/>
        <w:jc w:val="center"/>
        <w:rPr>
          <w:rFonts w:ascii="Palatino Linotype" w:hAnsi="Palatino Linotype" w:cs="Arial"/>
          <w:b/>
        </w:rPr>
      </w:pPr>
      <w:r w:rsidRPr="00623957">
        <w:rPr>
          <w:rFonts w:ascii="Palatino Linotype" w:hAnsi="Palatino Linotype" w:cs="Arial"/>
          <w:b/>
        </w:rPr>
        <w:t>C O N S I D E R A N D O:</w:t>
      </w:r>
    </w:p>
    <w:p w14:paraId="6DEB5FBB" w14:textId="0831F5BF" w:rsidR="00373004" w:rsidRPr="00623957" w:rsidRDefault="00373004" w:rsidP="00373004">
      <w:pPr>
        <w:spacing w:before="240" w:after="240" w:line="360" w:lineRule="auto"/>
        <w:jc w:val="both"/>
        <w:rPr>
          <w:rFonts w:ascii="Palatino Linotype" w:hAnsi="Palatino Linotype" w:cs="Arial"/>
          <w:b/>
        </w:rPr>
      </w:pPr>
      <w:r w:rsidRPr="00623957">
        <w:rPr>
          <w:rFonts w:ascii="Palatino Linotype" w:hAnsi="Palatino Linotype" w:cs="Arial"/>
          <w:b/>
        </w:rPr>
        <w:t xml:space="preserve">Primero. Competencia. </w:t>
      </w:r>
      <w:r w:rsidRPr="00623957">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w:t>
      </w:r>
      <w:r w:rsidR="00277E49" w:rsidRPr="007C0834">
        <w:rPr>
          <w:rFonts w:ascii="Palatino Linotype" w:hAnsi="Palatino Linotype"/>
          <w:shd w:val="clear" w:color="auto" w:fill="FFFFFF"/>
        </w:rPr>
        <w:t xml:space="preserve">5, párrafos </w:t>
      </w:r>
      <w:r w:rsidR="00DA57EB">
        <w:rPr>
          <w:rFonts w:ascii="Palatino Linotype" w:hAnsi="Palatino Linotype"/>
          <w:shd w:val="clear" w:color="auto" w:fill="FFFFFF"/>
        </w:rPr>
        <w:t>vigésimo, vigésimo primero y vigésimo segundo</w:t>
      </w:r>
      <w:r w:rsidR="00277E49" w:rsidRPr="007C0834">
        <w:rPr>
          <w:rFonts w:ascii="Palatino Linotype" w:hAnsi="Palatino Linotype"/>
          <w:shd w:val="clear" w:color="auto" w:fill="FFFFFF"/>
        </w:rPr>
        <w:t>, fracciones IV y V de la Constitución Política del Estado Libre y Soberano de México; 1, 2, fracción II; 13,  29, 36, fracciones I y II; 176, 178, 179, 181 párrafo tercero y 185</w:t>
      </w:r>
      <w:r w:rsidR="000A297C">
        <w:rPr>
          <w:rFonts w:ascii="Palatino Linotype" w:hAnsi="Palatino Linotype"/>
          <w:shd w:val="clear" w:color="auto" w:fill="FFFFFF"/>
        </w:rPr>
        <w:t xml:space="preserve"> </w:t>
      </w:r>
      <w:r w:rsidRPr="00623957">
        <w:rPr>
          <w:rFonts w:ascii="Palatino Linotype" w:hAnsi="Palatino Linotype" w:cs="Arial"/>
        </w:rPr>
        <w:t xml:space="preserve">de la Ley de Transparencia y Acceso a la Información Pública del Estado de México y Municipios; 1, 47, 65 y 66, fracciones I y III de la Ley de Protección de Datos Personales del Estado de México; y </w:t>
      </w:r>
      <w:r w:rsidR="00860F7D" w:rsidRPr="00C34F63">
        <w:rPr>
          <w:rFonts w:ascii="Palatino Linotype" w:hAnsi="Palatino Linotype" w:cs="Arial"/>
        </w:rPr>
        <w:t xml:space="preserve">9, fracciones I y XXIV y 11 </w:t>
      </w:r>
      <w:r w:rsidRPr="00623957">
        <w:rPr>
          <w:rFonts w:ascii="Palatino Linotype" w:hAnsi="Palatino Linotype" w:cs="Arial"/>
        </w:rPr>
        <w:t xml:space="preserve">del Reglamento </w:t>
      </w:r>
      <w:r w:rsidRPr="00623957">
        <w:rPr>
          <w:rFonts w:ascii="Palatino Linotype" w:hAnsi="Palatino Linotype" w:cs="Arial"/>
        </w:rPr>
        <w:lastRenderedPageBreak/>
        <w:t>Interior del Instituto de Transparencia, Acceso a la Información Pública y Protección de Datos Personales del Estado de México y Municipios.</w:t>
      </w:r>
    </w:p>
    <w:p w14:paraId="45CC3412" w14:textId="10EB2D4B" w:rsidR="00561DB1" w:rsidRDefault="00561DB1" w:rsidP="002035A8">
      <w:pPr>
        <w:pStyle w:val="Prrafodelista"/>
        <w:autoSpaceDE w:val="0"/>
        <w:autoSpaceDN w:val="0"/>
        <w:adjustRightInd w:val="0"/>
        <w:spacing w:after="240" w:line="360" w:lineRule="auto"/>
        <w:ind w:left="0" w:right="49"/>
        <w:jc w:val="both"/>
        <w:rPr>
          <w:rFonts w:ascii="Palatino Linotype" w:hAnsi="Palatino Linotype" w:cs="Arial"/>
        </w:rPr>
      </w:pPr>
      <w:r w:rsidRPr="00AF0503">
        <w:rPr>
          <w:rFonts w:ascii="Palatino Linotype" w:hAnsi="Palatino Linotype" w:cs="Arial"/>
          <w:b/>
        </w:rPr>
        <w:t xml:space="preserve">Segundo. Oportunidad y Procedibilidad del Recurso de Revisión. </w:t>
      </w:r>
      <w:r w:rsidRPr="00AF0503">
        <w:rPr>
          <w:rFonts w:ascii="Palatino Linotype" w:hAnsi="Palatino Linotype" w:cs="Arial"/>
        </w:rPr>
        <w:t xml:space="preserve">De conformidad con los requisitos de oportunidad y procedibilidad que deben reunir los recursos de revisión interpuestos, previstos en los artículos 178 y 180 de la </w:t>
      </w:r>
      <w:r w:rsidRPr="00AF0503">
        <w:rPr>
          <w:rFonts w:ascii="Palatino Linotype" w:hAnsi="Palatino Linotype" w:cs="Arial"/>
          <w:lang w:eastAsia="es-MX"/>
        </w:rPr>
        <w:t xml:space="preserve">Ley de Transparencia y Acceso a la Información Pública del Estado de México y Municipios vigente; </w:t>
      </w:r>
      <w:r w:rsidR="007360D1">
        <w:rPr>
          <w:rFonts w:ascii="Palatino Linotype" w:hAnsi="Palatino Linotype" w:cs="Arial"/>
          <w:lang w:eastAsia="es-MX"/>
        </w:rPr>
        <w:t>en la especie se advierte que los</w:t>
      </w:r>
      <w:r w:rsidRPr="00AF0503">
        <w:rPr>
          <w:rFonts w:ascii="Palatino Linotype" w:hAnsi="Palatino Linotype" w:cs="Arial"/>
          <w:lang w:eastAsia="es-MX"/>
        </w:rPr>
        <w:t xml:space="preserve"> presente</w:t>
      </w:r>
      <w:r w:rsidR="007360D1">
        <w:rPr>
          <w:rFonts w:ascii="Palatino Linotype" w:hAnsi="Palatino Linotype" w:cs="Arial"/>
          <w:lang w:eastAsia="es-MX"/>
        </w:rPr>
        <w:t>s</w:t>
      </w:r>
      <w:r w:rsidRPr="00AF0503">
        <w:rPr>
          <w:rFonts w:ascii="Palatino Linotype" w:hAnsi="Palatino Linotype" w:cs="Arial"/>
          <w:lang w:eastAsia="es-MX"/>
        </w:rPr>
        <w:t xml:space="preserve"> medio</w:t>
      </w:r>
      <w:r w:rsidR="00056B92">
        <w:rPr>
          <w:rFonts w:ascii="Palatino Linotype" w:hAnsi="Palatino Linotype" w:cs="Arial"/>
          <w:lang w:eastAsia="es-MX"/>
        </w:rPr>
        <w:t>s</w:t>
      </w:r>
      <w:r w:rsidRPr="00AF0503">
        <w:rPr>
          <w:rFonts w:ascii="Palatino Linotype" w:hAnsi="Palatino Linotype" w:cs="Arial"/>
          <w:lang w:eastAsia="es-MX"/>
        </w:rPr>
        <w:t xml:space="preserve"> de impugnación</w:t>
      </w:r>
      <w:r w:rsidRPr="00AC5B31">
        <w:rPr>
          <w:rFonts w:ascii="Palatino Linotype" w:hAnsi="Palatino Linotype" w:cs="Arial"/>
          <w:color w:val="FF0000"/>
          <w:lang w:eastAsia="es-MX"/>
        </w:rPr>
        <w:t xml:space="preserve"> </w:t>
      </w:r>
      <w:r>
        <w:rPr>
          <w:rFonts w:ascii="Palatino Linotype" w:hAnsi="Palatino Linotype" w:cs="Arial"/>
          <w:lang w:eastAsia="es-MX"/>
        </w:rPr>
        <w:t>fue</w:t>
      </w:r>
      <w:r w:rsidR="007360D1">
        <w:rPr>
          <w:rFonts w:ascii="Palatino Linotype" w:hAnsi="Palatino Linotype" w:cs="Arial"/>
          <w:lang w:eastAsia="es-MX"/>
        </w:rPr>
        <w:t>ron</w:t>
      </w:r>
      <w:r>
        <w:rPr>
          <w:rFonts w:ascii="Palatino Linotype" w:hAnsi="Palatino Linotype" w:cs="Arial"/>
          <w:lang w:eastAsia="es-MX"/>
        </w:rPr>
        <w:t xml:space="preserve"> interpuesto</w:t>
      </w:r>
      <w:r w:rsidR="007360D1">
        <w:rPr>
          <w:rFonts w:ascii="Palatino Linotype" w:hAnsi="Palatino Linotype" w:cs="Arial"/>
          <w:lang w:eastAsia="es-MX"/>
        </w:rPr>
        <w:t>s</w:t>
      </w:r>
      <w:r>
        <w:rPr>
          <w:rFonts w:ascii="Palatino Linotype" w:hAnsi="Palatino Linotype" w:cs="Arial"/>
          <w:lang w:eastAsia="es-MX"/>
        </w:rPr>
        <w:t xml:space="preserve"> dentro del plazo de quince días previsto en el primero de los dispositivos referidos, toda vez que el Sujeto Obligado emitió su respuesta a la</w:t>
      </w:r>
      <w:r w:rsidR="007360D1">
        <w:rPr>
          <w:rFonts w:ascii="Palatino Linotype" w:hAnsi="Palatino Linotype" w:cs="Arial"/>
          <w:lang w:eastAsia="es-MX"/>
        </w:rPr>
        <w:t>s</w:t>
      </w:r>
      <w:r>
        <w:rPr>
          <w:rFonts w:ascii="Palatino Linotype" w:hAnsi="Palatino Linotype" w:cs="Arial"/>
          <w:lang w:eastAsia="es-MX"/>
        </w:rPr>
        <w:t xml:space="preserve"> solicitud</w:t>
      </w:r>
      <w:r w:rsidR="007360D1">
        <w:rPr>
          <w:rFonts w:ascii="Palatino Linotype" w:hAnsi="Palatino Linotype" w:cs="Arial"/>
          <w:lang w:eastAsia="es-MX"/>
        </w:rPr>
        <w:t>es</w:t>
      </w:r>
      <w:r>
        <w:rPr>
          <w:rFonts w:ascii="Palatino Linotype" w:hAnsi="Palatino Linotype" w:cs="Arial"/>
          <w:lang w:eastAsia="es-MX"/>
        </w:rPr>
        <w:t xml:space="preserve"> plant</w:t>
      </w:r>
      <w:r w:rsidR="00A52459">
        <w:rPr>
          <w:rFonts w:ascii="Palatino Linotype" w:hAnsi="Palatino Linotype" w:cs="Arial"/>
          <w:lang w:eastAsia="es-MX"/>
        </w:rPr>
        <w:t>eada</w:t>
      </w:r>
      <w:r w:rsidR="007360D1">
        <w:rPr>
          <w:rFonts w:ascii="Palatino Linotype" w:hAnsi="Palatino Linotype" w:cs="Arial"/>
          <w:lang w:eastAsia="es-MX"/>
        </w:rPr>
        <w:t>s</w:t>
      </w:r>
      <w:r w:rsidR="00A52459">
        <w:rPr>
          <w:rFonts w:ascii="Palatino Linotype" w:hAnsi="Palatino Linotype" w:cs="Arial"/>
          <w:lang w:eastAsia="es-MX"/>
        </w:rPr>
        <w:t xml:space="preserve"> por la</w:t>
      </w:r>
      <w:r w:rsidR="007360D1">
        <w:rPr>
          <w:rFonts w:ascii="Palatino Linotype" w:hAnsi="Palatino Linotype" w:cs="Arial"/>
          <w:lang w:eastAsia="es-MX"/>
        </w:rPr>
        <w:t xml:space="preserve"> parte</w:t>
      </w:r>
      <w:r w:rsidR="000B30DE">
        <w:rPr>
          <w:rFonts w:ascii="Palatino Linotype" w:hAnsi="Palatino Linotype" w:cs="Arial"/>
          <w:lang w:eastAsia="es-MX"/>
        </w:rPr>
        <w:t xml:space="preserve"> recurrente en fecha</w:t>
      </w:r>
      <w:r w:rsidR="00056B92">
        <w:rPr>
          <w:rFonts w:ascii="Palatino Linotype" w:hAnsi="Palatino Linotype" w:cs="Arial"/>
          <w:lang w:eastAsia="es-MX"/>
        </w:rPr>
        <w:t>s seis y diecinueve</w:t>
      </w:r>
      <w:r w:rsidR="000B30DE">
        <w:rPr>
          <w:rFonts w:ascii="Palatino Linotype" w:hAnsi="Palatino Linotype" w:cs="Arial"/>
          <w:lang w:eastAsia="es-MX"/>
        </w:rPr>
        <w:t xml:space="preserve"> </w:t>
      </w:r>
      <w:r>
        <w:rPr>
          <w:rFonts w:ascii="Palatino Linotype" w:hAnsi="Palatino Linotype" w:cs="Arial"/>
          <w:lang w:eastAsia="es-MX"/>
        </w:rPr>
        <w:t xml:space="preserve">de </w:t>
      </w:r>
      <w:r w:rsidR="00DD1B8B">
        <w:rPr>
          <w:rFonts w:ascii="Palatino Linotype" w:hAnsi="Palatino Linotype" w:cs="Arial"/>
          <w:lang w:eastAsia="es-MX"/>
        </w:rPr>
        <w:t>junio</w:t>
      </w:r>
      <w:r w:rsidR="00C45B85">
        <w:rPr>
          <w:rFonts w:ascii="Palatino Linotype" w:hAnsi="Palatino Linotype" w:cs="Arial"/>
          <w:lang w:eastAsia="es-MX"/>
        </w:rPr>
        <w:t xml:space="preserve"> del </w:t>
      </w:r>
      <w:r w:rsidR="007360D1">
        <w:rPr>
          <w:rFonts w:ascii="Palatino Linotype" w:hAnsi="Palatino Linotype" w:cs="Arial"/>
          <w:lang w:eastAsia="es-MX"/>
        </w:rPr>
        <w:t>año dos mil dieciocho</w:t>
      </w:r>
      <w:r w:rsidR="00BC57BD">
        <w:rPr>
          <w:rFonts w:ascii="Palatino Linotype" w:hAnsi="Palatino Linotype" w:cs="Arial"/>
          <w:lang w:eastAsia="es-MX"/>
        </w:rPr>
        <w:t xml:space="preserve"> y la</w:t>
      </w:r>
      <w:r w:rsidR="007360D1">
        <w:rPr>
          <w:rFonts w:ascii="Palatino Linotype" w:hAnsi="Palatino Linotype" w:cs="Arial"/>
          <w:lang w:eastAsia="es-MX"/>
        </w:rPr>
        <w:t xml:space="preserve"> parte</w:t>
      </w:r>
      <w:r w:rsidR="001B2B30">
        <w:rPr>
          <w:rFonts w:ascii="Palatino Linotype" w:hAnsi="Palatino Linotype" w:cs="Arial"/>
          <w:lang w:eastAsia="es-MX"/>
        </w:rPr>
        <w:t xml:space="preserve"> </w:t>
      </w:r>
      <w:r>
        <w:rPr>
          <w:rFonts w:ascii="Palatino Linotype" w:hAnsi="Palatino Linotype" w:cs="Arial"/>
          <w:lang w:eastAsia="es-MX"/>
        </w:rPr>
        <w:t xml:space="preserve">solicitante presentó </w:t>
      </w:r>
      <w:r w:rsidR="00C45B85">
        <w:rPr>
          <w:rFonts w:ascii="Palatino Linotype" w:hAnsi="Palatino Linotype" w:cs="Arial"/>
          <w:lang w:eastAsia="es-MX"/>
        </w:rPr>
        <w:t xml:space="preserve">sus </w:t>
      </w:r>
      <w:r>
        <w:rPr>
          <w:rFonts w:ascii="Palatino Linotype" w:hAnsi="Palatino Linotype" w:cs="Arial"/>
          <w:lang w:eastAsia="es-MX"/>
        </w:rPr>
        <w:t>recurso</w:t>
      </w:r>
      <w:r w:rsidR="007360D1">
        <w:rPr>
          <w:rFonts w:ascii="Palatino Linotype" w:hAnsi="Palatino Linotype" w:cs="Arial"/>
          <w:lang w:eastAsia="es-MX"/>
        </w:rPr>
        <w:t>s</w:t>
      </w:r>
      <w:r>
        <w:rPr>
          <w:rFonts w:ascii="Palatino Linotype" w:hAnsi="Palatino Linotype" w:cs="Arial"/>
          <w:lang w:eastAsia="es-MX"/>
        </w:rPr>
        <w:t xml:space="preserve"> de revisión</w:t>
      </w:r>
      <w:r w:rsidR="002035A8">
        <w:rPr>
          <w:rFonts w:ascii="Palatino Linotype" w:hAnsi="Palatino Linotype" w:cs="Arial"/>
          <w:lang w:eastAsia="es-MX"/>
        </w:rPr>
        <w:t xml:space="preserve"> </w:t>
      </w:r>
      <w:r w:rsidR="00C45B85">
        <w:rPr>
          <w:rFonts w:ascii="Palatino Linotype" w:hAnsi="Palatino Linotype" w:cs="Arial"/>
          <w:lang w:eastAsia="es-MX"/>
        </w:rPr>
        <w:t xml:space="preserve">el </w:t>
      </w:r>
      <w:r w:rsidR="00056B92">
        <w:rPr>
          <w:rFonts w:ascii="Palatino Linotype" w:hAnsi="Palatino Linotype" w:cs="Arial"/>
          <w:lang w:eastAsia="es-MX"/>
        </w:rPr>
        <w:t>once y veintiuno</w:t>
      </w:r>
      <w:r w:rsidR="00C45B85">
        <w:rPr>
          <w:rFonts w:ascii="Palatino Linotype" w:hAnsi="Palatino Linotype" w:cs="Arial"/>
          <w:lang w:eastAsia="es-MX"/>
        </w:rPr>
        <w:t xml:space="preserve"> de </w:t>
      </w:r>
      <w:r w:rsidR="00DD1B8B">
        <w:rPr>
          <w:rFonts w:ascii="Palatino Linotype" w:hAnsi="Palatino Linotype" w:cs="Arial"/>
          <w:lang w:eastAsia="es-MX"/>
        </w:rPr>
        <w:t>junio</w:t>
      </w:r>
      <w:r w:rsidR="00C45B85">
        <w:rPr>
          <w:rFonts w:ascii="Palatino Linotype" w:hAnsi="Palatino Linotype" w:cs="Arial"/>
          <w:lang w:eastAsia="es-MX"/>
        </w:rPr>
        <w:t>;</w:t>
      </w:r>
      <w:r w:rsidR="007360D1">
        <w:rPr>
          <w:rFonts w:ascii="Palatino Linotype" w:hAnsi="Palatino Linotype" w:cs="Arial"/>
          <w:lang w:eastAsia="es-MX"/>
        </w:rPr>
        <w:t xml:space="preserve"> esto es</w:t>
      </w:r>
      <w:r w:rsidR="002035A8">
        <w:rPr>
          <w:rFonts w:ascii="Palatino Linotype" w:hAnsi="Palatino Linotype" w:cs="Arial"/>
          <w:lang w:eastAsia="es-MX"/>
        </w:rPr>
        <w:t>,</w:t>
      </w:r>
      <w:r w:rsidR="007360D1">
        <w:rPr>
          <w:rFonts w:ascii="Palatino Linotype" w:hAnsi="Palatino Linotype" w:cs="Arial"/>
          <w:lang w:eastAsia="es-MX"/>
        </w:rPr>
        <w:t xml:space="preserve"> al </w:t>
      </w:r>
      <w:r w:rsidR="00056B92">
        <w:rPr>
          <w:rFonts w:ascii="Palatino Linotype" w:hAnsi="Palatino Linotype" w:cs="Arial"/>
          <w:lang w:eastAsia="es-MX"/>
        </w:rPr>
        <w:t>tercer</w:t>
      </w:r>
      <w:r w:rsidR="00F334AB">
        <w:rPr>
          <w:rFonts w:ascii="Palatino Linotype" w:hAnsi="Palatino Linotype" w:cs="Arial"/>
          <w:lang w:eastAsia="es-MX"/>
        </w:rPr>
        <w:t xml:space="preserve"> y segundo</w:t>
      </w:r>
      <w:r w:rsidR="007360D1">
        <w:rPr>
          <w:rFonts w:ascii="Palatino Linotype" w:hAnsi="Palatino Linotype" w:cs="Arial"/>
          <w:lang w:eastAsia="es-MX"/>
        </w:rPr>
        <w:t xml:space="preserve"> día hábil siguiente de aquel en que tuvo conocimiento de las respuestas impugnadas</w:t>
      </w:r>
      <w:r w:rsidR="00F334AB">
        <w:rPr>
          <w:rFonts w:ascii="Palatino Linotype" w:hAnsi="Palatino Linotype" w:cs="Arial"/>
          <w:lang w:eastAsia="es-MX"/>
        </w:rPr>
        <w:t>, respectivamente</w:t>
      </w:r>
      <w:r>
        <w:rPr>
          <w:rFonts w:ascii="Palatino Linotype" w:hAnsi="Palatino Linotype" w:cs="Arial"/>
          <w:shd w:val="clear" w:color="auto" w:fill="FFFFFF"/>
        </w:rPr>
        <w:t>;</w:t>
      </w:r>
      <w:r>
        <w:rPr>
          <w:rFonts w:ascii="Palatino Linotype" w:hAnsi="Palatino Linotype" w:cs="Arial"/>
          <w:lang w:eastAsia="es-MX"/>
        </w:rPr>
        <w:t xml:space="preserve"> evidenc</w:t>
      </w:r>
      <w:r w:rsidR="007360D1">
        <w:rPr>
          <w:rFonts w:ascii="Palatino Linotype" w:hAnsi="Palatino Linotype" w:cs="Arial"/>
          <w:lang w:eastAsia="es-MX"/>
        </w:rPr>
        <w:t>iándose que la interposición de los</w:t>
      </w:r>
      <w:r>
        <w:rPr>
          <w:rFonts w:ascii="Palatino Linotype" w:hAnsi="Palatino Linotype" w:cs="Arial"/>
          <w:lang w:eastAsia="es-MX"/>
        </w:rPr>
        <w:t xml:space="preserve"> recurso</w:t>
      </w:r>
      <w:r w:rsidR="007360D1">
        <w:rPr>
          <w:rFonts w:ascii="Palatino Linotype" w:hAnsi="Palatino Linotype" w:cs="Arial"/>
          <w:lang w:eastAsia="es-MX"/>
        </w:rPr>
        <w:t>s</w:t>
      </w:r>
      <w:r>
        <w:rPr>
          <w:rFonts w:ascii="Palatino Linotype" w:hAnsi="Palatino Linotype" w:cs="Arial"/>
          <w:lang w:eastAsia="es-MX"/>
        </w:rPr>
        <w:t xml:space="preserve"> se</w:t>
      </w:r>
      <w:r>
        <w:rPr>
          <w:rFonts w:ascii="Palatino Linotype" w:hAnsi="Palatino Linotype" w:cs="Arial"/>
        </w:rPr>
        <w:t xml:space="preserve"> encuentra dentro de los márgenes temporales previstos en el citado precepto legal.</w:t>
      </w:r>
    </w:p>
    <w:p w14:paraId="349DDAD0" w14:textId="77777777" w:rsidR="004348CE" w:rsidRDefault="00561DB1" w:rsidP="004348CE">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CE38B5">
        <w:rPr>
          <w:rFonts w:ascii="Palatino Linotype" w:hAnsi="Palatino Linotype" w:cs="Arial"/>
        </w:rPr>
        <w:t>Así también por cuanto hace a la procedibilidad de</w:t>
      </w:r>
      <w:r w:rsidR="007360D1">
        <w:rPr>
          <w:rFonts w:ascii="Palatino Linotype" w:hAnsi="Palatino Linotype" w:cs="Arial"/>
        </w:rPr>
        <w:t xml:space="preserve"> </w:t>
      </w:r>
      <w:r w:rsidRPr="00CE38B5">
        <w:rPr>
          <w:rFonts w:ascii="Palatino Linotype" w:hAnsi="Palatino Linotype" w:cs="Arial"/>
        </w:rPr>
        <w:t>l</w:t>
      </w:r>
      <w:r w:rsidR="007360D1">
        <w:rPr>
          <w:rFonts w:ascii="Palatino Linotype" w:hAnsi="Palatino Linotype" w:cs="Arial"/>
        </w:rPr>
        <w:t>os</w:t>
      </w:r>
      <w:r w:rsidRPr="00CE38B5">
        <w:rPr>
          <w:rFonts w:ascii="Palatino Linotype" w:hAnsi="Palatino Linotype" w:cs="Arial"/>
        </w:rPr>
        <w:t xml:space="preserve"> recurso</w:t>
      </w:r>
      <w:r w:rsidR="007360D1">
        <w:rPr>
          <w:rFonts w:ascii="Palatino Linotype" w:hAnsi="Palatino Linotype" w:cs="Arial"/>
        </w:rPr>
        <w:t>s</w:t>
      </w:r>
      <w:r w:rsidRPr="00CE38B5">
        <w:rPr>
          <w:rFonts w:ascii="Palatino Linotype" w:hAnsi="Palatino Linotype" w:cs="Arial"/>
        </w:rPr>
        <w:t xml:space="preserve"> de revisión </w:t>
      </w:r>
      <w:r w:rsidR="001B2B30">
        <w:rPr>
          <w:rFonts w:ascii="Palatino Linotype" w:hAnsi="Palatino Linotype" w:cs="Arial"/>
        </w:rPr>
        <w:t>una vez realizado el análisis</w:t>
      </w:r>
      <w:r>
        <w:rPr>
          <w:rFonts w:ascii="Palatino Linotype" w:hAnsi="Palatino Linotype" w:cs="Arial"/>
        </w:rPr>
        <w:t xml:space="preserve"> de</w:t>
      </w:r>
      <w:r w:rsidR="007360D1">
        <w:rPr>
          <w:rFonts w:ascii="Palatino Linotype" w:hAnsi="Palatino Linotype" w:cs="Arial"/>
        </w:rPr>
        <w:t xml:space="preserve"> </w:t>
      </w:r>
      <w:r>
        <w:rPr>
          <w:rFonts w:ascii="Palatino Linotype" w:hAnsi="Palatino Linotype" w:cs="Arial"/>
        </w:rPr>
        <w:t>l</w:t>
      </w:r>
      <w:r w:rsidR="007360D1">
        <w:rPr>
          <w:rFonts w:ascii="Palatino Linotype" w:hAnsi="Palatino Linotype" w:cs="Arial"/>
        </w:rPr>
        <w:t>os</w:t>
      </w:r>
      <w:r>
        <w:rPr>
          <w:rFonts w:ascii="Palatino Linotype" w:hAnsi="Palatino Linotype" w:cs="Arial"/>
        </w:rPr>
        <w:t xml:space="preserve"> formato</w:t>
      </w:r>
      <w:r w:rsidR="007360D1">
        <w:rPr>
          <w:rFonts w:ascii="Palatino Linotype" w:hAnsi="Palatino Linotype" w:cs="Arial"/>
        </w:rPr>
        <w:t>s</w:t>
      </w:r>
      <w:r>
        <w:rPr>
          <w:rFonts w:ascii="Palatino Linotype" w:hAnsi="Palatino Linotype" w:cs="Arial"/>
        </w:rPr>
        <w:t xml:space="preserve"> de interposición</w:t>
      </w:r>
      <w:r w:rsidR="007360D1">
        <w:rPr>
          <w:rStyle w:val="normaltextrun"/>
          <w:rFonts w:ascii="Palatino Linotype" w:hAnsi="Palatino Linotype" w:cs="Segoe UI"/>
        </w:rPr>
        <w:t xml:space="preserve"> de los</w:t>
      </w:r>
      <w:r w:rsidRPr="00CE38B5">
        <w:rPr>
          <w:rStyle w:val="normaltextrun"/>
          <w:rFonts w:ascii="Palatino Linotype" w:hAnsi="Palatino Linotype" w:cs="Segoe UI"/>
        </w:rPr>
        <w:t xml:space="preserve"> recurso</w:t>
      </w:r>
      <w:r w:rsidR="007360D1">
        <w:rPr>
          <w:rStyle w:val="normaltextrun"/>
          <w:rFonts w:ascii="Palatino Linotype" w:hAnsi="Palatino Linotype" w:cs="Segoe UI"/>
        </w:rPr>
        <w:t>s</w:t>
      </w:r>
      <w:r w:rsidRPr="00CE38B5">
        <w:rPr>
          <w:rStyle w:val="normaltextrun"/>
          <w:rFonts w:ascii="Palatino Linotype" w:hAnsi="Palatino Linotype" w:cs="Segoe UI"/>
        </w:rPr>
        <w:t xml:space="preserve">, se </w:t>
      </w:r>
      <w:r>
        <w:rPr>
          <w:rStyle w:val="normaltextrun"/>
          <w:rFonts w:ascii="Palatino Linotype" w:hAnsi="Palatino Linotype" w:cs="Segoe UI"/>
        </w:rPr>
        <w:t>colige</w:t>
      </w:r>
      <w:r w:rsidRPr="00CE38B5">
        <w:rPr>
          <w:rStyle w:val="normaltextrun"/>
          <w:rFonts w:ascii="Palatino Linotype" w:hAnsi="Palatino Linotype" w:cs="Segoe UI"/>
        </w:rPr>
        <w:t xml:space="preserve"> la acreditación plena de todos y cada uno de los elementos form</w:t>
      </w:r>
      <w:r>
        <w:rPr>
          <w:rStyle w:val="normaltextrun"/>
          <w:rFonts w:ascii="Palatino Linotype" w:hAnsi="Palatino Linotype" w:cs="Segoe UI"/>
        </w:rPr>
        <w:t>ales exigidos por el artículo 180</w:t>
      </w:r>
      <w:r w:rsidRPr="00CE38B5">
        <w:rPr>
          <w:rStyle w:val="normaltextrun"/>
          <w:rFonts w:ascii="Palatino Linotype" w:hAnsi="Palatino Linotype" w:cs="Segoe UI"/>
        </w:rPr>
        <w:t xml:space="preserve"> de la</w:t>
      </w:r>
      <w:r w:rsidR="00C45B85">
        <w:rPr>
          <w:rStyle w:val="apple-converted-space"/>
          <w:rFonts w:ascii="Palatino Linotype" w:hAnsi="Palatino Linotype" w:cs="Segoe UI"/>
        </w:rPr>
        <w:t xml:space="preserve"> </w:t>
      </w:r>
      <w:r w:rsidRPr="00CE38B5">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 xml:space="preserve">, </w:t>
      </w:r>
      <w:r w:rsidRPr="00CE38B5">
        <w:rPr>
          <w:rStyle w:val="normaltextrun"/>
          <w:rFonts w:ascii="Palatino Linotype" w:hAnsi="Palatino Linotype" w:cs="Segoe UI"/>
        </w:rPr>
        <w:t>en atención a que fue</w:t>
      </w:r>
      <w:r w:rsidR="008C4988">
        <w:rPr>
          <w:rStyle w:val="normaltextrun"/>
          <w:rFonts w:ascii="Palatino Linotype" w:hAnsi="Palatino Linotype" w:cs="Segoe UI"/>
        </w:rPr>
        <w:t>ron</w:t>
      </w:r>
      <w:r w:rsidRPr="00CE38B5">
        <w:rPr>
          <w:rStyle w:val="normaltextrun"/>
          <w:rFonts w:ascii="Palatino Linotype" w:hAnsi="Palatino Linotype" w:cs="Segoe UI"/>
        </w:rPr>
        <w:t xml:space="preserve"> presentado</w:t>
      </w:r>
      <w:r w:rsidR="008C4988">
        <w:rPr>
          <w:rStyle w:val="normaltextrun"/>
          <w:rFonts w:ascii="Palatino Linotype" w:hAnsi="Palatino Linotype" w:cs="Segoe UI"/>
        </w:rPr>
        <w:t>s</w:t>
      </w:r>
      <w:r w:rsidRPr="00CE38B5">
        <w:rPr>
          <w:rStyle w:val="normaltextrun"/>
          <w:rFonts w:ascii="Palatino Linotype" w:hAnsi="Palatino Linotype" w:cs="Segoe UI"/>
        </w:rPr>
        <w:t xml:space="preserve"> mediante el formato visible en</w:t>
      </w:r>
      <w:r w:rsidR="008C4988">
        <w:rPr>
          <w:rStyle w:val="apple-converted-space"/>
          <w:rFonts w:ascii="Palatino Linotype" w:hAnsi="Palatino Linotype" w:cs="Segoe UI"/>
        </w:rPr>
        <w:t xml:space="preserve"> </w:t>
      </w:r>
      <w:r w:rsidRPr="00CE38B5">
        <w:rPr>
          <w:rStyle w:val="normaltextrun"/>
          <w:rFonts w:ascii="Palatino Linotype" w:hAnsi="Palatino Linotype" w:cs="Segoe UI"/>
          <w:b/>
          <w:bCs/>
        </w:rPr>
        <w:t>EL</w:t>
      </w:r>
      <w:r w:rsidR="008C4988">
        <w:rPr>
          <w:rStyle w:val="apple-converted-space"/>
          <w:rFonts w:ascii="Palatino Linotype" w:hAnsi="Palatino Linotype" w:cs="Segoe UI"/>
        </w:rPr>
        <w:t xml:space="preserve"> </w:t>
      </w:r>
      <w:r w:rsidRPr="00CE38B5">
        <w:rPr>
          <w:rStyle w:val="normaltextrun"/>
          <w:rFonts w:ascii="Palatino Linotype" w:hAnsi="Palatino Linotype" w:cs="Segoe UI"/>
          <w:b/>
          <w:bCs/>
        </w:rPr>
        <w:t>SAIMEX</w:t>
      </w:r>
      <w:r w:rsidR="004A32A1">
        <w:rPr>
          <w:rStyle w:val="normaltextrun"/>
          <w:rFonts w:ascii="Palatino Linotype" w:hAnsi="Palatino Linotype" w:cs="Segoe UI"/>
        </w:rPr>
        <w:t>.</w:t>
      </w:r>
    </w:p>
    <w:p w14:paraId="31C17EF8" w14:textId="26E0396D" w:rsidR="004348CE" w:rsidRPr="004348CE" w:rsidRDefault="004348CE" w:rsidP="004348CE">
      <w:pPr>
        <w:pStyle w:val="paragraph"/>
        <w:spacing w:before="0" w:beforeAutospacing="0" w:after="240" w:afterAutospacing="0" w:line="360" w:lineRule="auto"/>
        <w:ind w:right="-150"/>
        <w:jc w:val="both"/>
        <w:textAlignment w:val="baseline"/>
        <w:rPr>
          <w:rFonts w:ascii="Palatino Linotype" w:hAnsi="Palatino Linotype" w:cs="Segoe UI"/>
        </w:rPr>
      </w:pPr>
      <w:r>
        <w:rPr>
          <w:rStyle w:val="normaltextrun"/>
          <w:rFonts w:ascii="Palatino Linotype" w:hAnsi="Palatino Linotype" w:cs="Segoe UI"/>
        </w:rPr>
        <w:lastRenderedPageBreak/>
        <w:t xml:space="preserve">Al respecto conviene resaltar que si bien el recurrente en el asunto que nos ocupa no señaló un nombre completo o cierto que nos permita asegurar su identidad, la realidad es que ello no genera la improcedibilidad de los recursos de revisión pues el artículo </w:t>
      </w:r>
      <w:r w:rsidRPr="00C774F6">
        <w:rPr>
          <w:rFonts w:ascii="Palatino Linotype" w:hAnsi="Palatino Linotype" w:cs="Arial"/>
        </w:rPr>
        <w:t xml:space="preserve">15 de Ley de Transparencia y Acceso a la Información Pública del Estado de México y Municipios </w:t>
      </w:r>
      <w:r w:rsidRPr="00C774F6">
        <w:rPr>
          <w:rFonts w:ascii="Palatino Linotype" w:hAnsi="Palatino Linotype" w:cs="Arial"/>
          <w:iCs/>
        </w:rPr>
        <w:t xml:space="preserve">prevé que </w:t>
      </w:r>
      <w:r w:rsidRPr="00C774F6">
        <w:rPr>
          <w:rFonts w:ascii="Palatino Linotype" w:hAnsi="Palatino Linotype" w:cs="Arial"/>
        </w:rPr>
        <w:t>toda persona tendrá acceso a la información sin</w:t>
      </w:r>
      <w:r>
        <w:rPr>
          <w:rFonts w:ascii="Palatino Linotype" w:hAnsi="Palatino Linotype" w:cs="Arial"/>
        </w:rPr>
        <w:t xml:space="preserve"> discriminación por motivo alguno, ello aunado a que el artículo 155 que lista los requisitos que deben contener las solicitudes de acceso a la información, refiere en su penúltimo párrafo la posibilidad de que aquellas puedan ser anónimas, con nombre incompleto o seudónimo, sin que el Sujeto Obligado requiera información adicional con relación al nombre proporcionado por el solicitante.</w:t>
      </w:r>
    </w:p>
    <w:p w14:paraId="6730C669" w14:textId="77777777" w:rsidR="004348CE" w:rsidRDefault="004348CE" w:rsidP="004348CE">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t>Lo  mismo ocurre para el formato electrónico por el cual se interponga el recurso de revisión, pues si bien el artículo 180 de la Ley de la materia prevé en su fracción II que el recurso contendrá el nombre del solicitante que recurre, lo cierto es que en su último párrafo dice que cuando el recurso se interponga de manera electrónica como acontece en la especie no resulta necesario que se cumpla con dicho requisito.</w:t>
      </w:r>
    </w:p>
    <w:p w14:paraId="55388D93" w14:textId="77777777" w:rsidR="004348CE" w:rsidRPr="003F4843" w:rsidRDefault="004348CE" w:rsidP="004348CE">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t xml:space="preserve">Lo anterior en estricta congruencia con lo determinado en los </w:t>
      </w:r>
      <w:r w:rsidRPr="00E90AEC">
        <w:rPr>
          <w:rFonts w:ascii="Palatino Linotype" w:hAnsi="Palatino Linotype"/>
        </w:rPr>
        <w:t>art</w:t>
      </w:r>
      <w:r>
        <w:rPr>
          <w:rFonts w:ascii="Palatino Linotype" w:hAnsi="Palatino Linotype"/>
        </w:rPr>
        <w:t>ículos 6, Apartado A, fracción</w:t>
      </w:r>
      <w:r w:rsidRPr="00E90AEC">
        <w:rPr>
          <w:rFonts w:ascii="Palatino Linotype" w:hAnsi="Palatino Linotype"/>
        </w:rPr>
        <w:t xml:space="preserve"> III de la Constitución Política de los Estados Unidos Mexicanos y 5 párrafos </w:t>
      </w:r>
      <w:r>
        <w:rPr>
          <w:rFonts w:ascii="Palatino Linotype" w:hAnsi="Palatino Linotype"/>
        </w:rPr>
        <w:t>vigésimo, vigésimo primero y vigésimo segundo, fracción</w:t>
      </w:r>
      <w:r w:rsidRPr="00E90AEC">
        <w:rPr>
          <w:rFonts w:ascii="Palatino Linotype" w:hAnsi="Palatino Linotype"/>
        </w:rPr>
        <w:t xml:space="preserve"> III, de la Constitución Política del Estado Libre y Soberano de México, </w:t>
      </w:r>
      <w:r>
        <w:rPr>
          <w:rFonts w:ascii="Palatino Linotype" w:hAnsi="Palatino Linotype"/>
        </w:rPr>
        <w:t>que a la letra señalan</w:t>
      </w:r>
      <w:r w:rsidRPr="00E90AEC">
        <w:rPr>
          <w:rFonts w:ascii="Palatino Linotype" w:hAnsi="Palatino Linotype"/>
        </w:rPr>
        <w:t>:</w:t>
      </w:r>
    </w:p>
    <w:p w14:paraId="759C1BA9" w14:textId="77777777" w:rsidR="004348CE" w:rsidRPr="00E90AEC" w:rsidRDefault="004348CE" w:rsidP="004348CE">
      <w:pPr>
        <w:spacing w:before="240" w:after="240"/>
        <w:ind w:left="851" w:right="900"/>
        <w:jc w:val="both"/>
        <w:rPr>
          <w:rFonts w:ascii="Palatino Linotype" w:hAnsi="Palatino Linotype"/>
          <w:b/>
          <w:i/>
          <w:sz w:val="22"/>
          <w:szCs w:val="20"/>
        </w:rPr>
      </w:pPr>
      <w:r w:rsidRPr="00E90AEC">
        <w:rPr>
          <w:rFonts w:ascii="Palatino Linotype" w:hAnsi="Palatino Linotype"/>
          <w:b/>
          <w:i/>
          <w:sz w:val="22"/>
          <w:szCs w:val="20"/>
        </w:rPr>
        <w:t>Constitución Política de los Estados Unidos Mexicanos</w:t>
      </w:r>
    </w:p>
    <w:p w14:paraId="00DE2BBE" w14:textId="77777777" w:rsidR="004348CE" w:rsidRPr="00E90AEC" w:rsidRDefault="004348CE" w:rsidP="004348CE">
      <w:pPr>
        <w:spacing w:before="240" w:after="240"/>
        <w:ind w:left="851" w:right="900"/>
        <w:jc w:val="both"/>
        <w:rPr>
          <w:rFonts w:ascii="Palatino Linotype" w:hAnsi="Palatino Linotype"/>
          <w:i/>
          <w:sz w:val="22"/>
          <w:szCs w:val="20"/>
        </w:rPr>
      </w:pPr>
      <w:r w:rsidRPr="00E90AEC">
        <w:rPr>
          <w:rFonts w:ascii="Palatino Linotype" w:hAnsi="Palatino Linotype"/>
          <w:i/>
          <w:sz w:val="22"/>
          <w:szCs w:val="20"/>
        </w:rPr>
        <w:t xml:space="preserve">“Artículo 6°.- La manifestación de las ideas no será objeto de ninguna inquisición judicial o administrativa, sino en el caso de que ataque a la moral, la vida privada o los derechos de terceros, provoque algún delito, o perturbe el orden público; el </w:t>
      </w:r>
      <w:r w:rsidRPr="00E90AEC">
        <w:rPr>
          <w:rFonts w:ascii="Palatino Linotype" w:hAnsi="Palatino Linotype"/>
          <w:i/>
          <w:sz w:val="22"/>
          <w:szCs w:val="20"/>
        </w:rPr>
        <w:lastRenderedPageBreak/>
        <w:t xml:space="preserve">derecho de réplica será ejercido en los términos dispuestos por la ley. </w:t>
      </w:r>
      <w:r w:rsidRPr="00E90AEC">
        <w:rPr>
          <w:rFonts w:ascii="Palatino Linotype" w:hAnsi="Palatino Linotype"/>
          <w:b/>
          <w:i/>
          <w:sz w:val="22"/>
          <w:szCs w:val="20"/>
          <w:u w:val="single"/>
        </w:rPr>
        <w:t>El derecho a la información será garantizado por el Estado.</w:t>
      </w:r>
    </w:p>
    <w:p w14:paraId="6640C98D" w14:textId="77777777" w:rsidR="004348CE" w:rsidRPr="00E90AEC" w:rsidRDefault="004348CE" w:rsidP="004348CE">
      <w:pPr>
        <w:spacing w:before="240" w:after="240"/>
        <w:ind w:left="851" w:right="900"/>
        <w:jc w:val="both"/>
        <w:rPr>
          <w:rFonts w:ascii="Palatino Linotype" w:hAnsi="Palatino Linotype"/>
          <w:i/>
          <w:sz w:val="22"/>
          <w:szCs w:val="20"/>
        </w:rPr>
      </w:pPr>
      <w:r w:rsidRPr="00E90AEC">
        <w:rPr>
          <w:rFonts w:ascii="Palatino Linotype" w:hAnsi="Palatino Linotype"/>
          <w:i/>
          <w:sz w:val="22"/>
          <w:szCs w:val="20"/>
        </w:rPr>
        <w:t>[…]</w:t>
      </w:r>
    </w:p>
    <w:p w14:paraId="5E810289" w14:textId="77777777" w:rsidR="004348CE" w:rsidRPr="00E90AEC" w:rsidRDefault="004348CE" w:rsidP="004348CE">
      <w:pPr>
        <w:spacing w:before="240" w:after="240"/>
        <w:ind w:left="851" w:right="900"/>
        <w:jc w:val="both"/>
        <w:rPr>
          <w:rFonts w:ascii="Palatino Linotype" w:hAnsi="Palatino Linotype"/>
          <w:i/>
          <w:sz w:val="22"/>
          <w:szCs w:val="20"/>
        </w:rPr>
      </w:pPr>
      <w:r w:rsidRPr="00E90AEC">
        <w:rPr>
          <w:rFonts w:ascii="Palatino Linotype" w:hAnsi="Palatino Linotype"/>
          <w:i/>
          <w:sz w:val="22"/>
          <w:szCs w:val="20"/>
        </w:rPr>
        <w:t xml:space="preserve">Para efectos de lo dispuesto en el presente artículo se observará lo siguiente: </w:t>
      </w:r>
    </w:p>
    <w:p w14:paraId="164B1EAF" w14:textId="77777777" w:rsidR="004348CE" w:rsidRPr="00E90AEC" w:rsidRDefault="004348CE" w:rsidP="004348CE">
      <w:pPr>
        <w:spacing w:before="240" w:after="240"/>
        <w:ind w:left="851" w:right="900"/>
        <w:jc w:val="both"/>
        <w:rPr>
          <w:rFonts w:ascii="Palatino Linotype" w:hAnsi="Palatino Linotype"/>
          <w:i/>
          <w:sz w:val="22"/>
          <w:szCs w:val="20"/>
        </w:rPr>
      </w:pPr>
      <w:r w:rsidRPr="00E90AEC">
        <w:rPr>
          <w:rFonts w:ascii="Palatino Linotype" w:hAnsi="Palatino Linotype"/>
          <w:i/>
          <w:sz w:val="22"/>
          <w:szCs w:val="20"/>
        </w:rPr>
        <w:t xml:space="preserve">A. </w:t>
      </w:r>
      <w:r w:rsidRPr="00E90AEC">
        <w:rPr>
          <w:rFonts w:ascii="Palatino Linotype" w:hAnsi="Palatino Linotype"/>
          <w:b/>
          <w:i/>
          <w:sz w:val="22"/>
          <w:szCs w:val="20"/>
          <w:u w:val="single"/>
        </w:rPr>
        <w:t>Para el ejercicio del derecho de acceso a la información</w:t>
      </w:r>
      <w:r w:rsidRPr="00E90AEC">
        <w:rPr>
          <w:rFonts w:ascii="Palatino Linotype" w:hAnsi="Palatino Linotype"/>
          <w:i/>
          <w:sz w:val="22"/>
          <w:szCs w:val="20"/>
        </w:rPr>
        <w:t xml:space="preserve">, la Federación, </w:t>
      </w:r>
      <w:r w:rsidRPr="00E90AEC">
        <w:rPr>
          <w:rFonts w:ascii="Palatino Linotype" w:hAnsi="Palatino Linotype"/>
          <w:b/>
          <w:i/>
          <w:sz w:val="22"/>
          <w:szCs w:val="20"/>
          <w:u w:val="single"/>
        </w:rPr>
        <w:t>los Estados</w:t>
      </w:r>
      <w:r w:rsidRPr="00E90AEC">
        <w:rPr>
          <w:rFonts w:ascii="Palatino Linotype" w:hAnsi="Palatino Linotype"/>
          <w:i/>
          <w:sz w:val="22"/>
          <w:szCs w:val="20"/>
        </w:rPr>
        <w:t xml:space="preserve"> y el Distrito Federal, en el ámbito de sus respectivas competencias, se regirán por los siguientes principios y bases: </w:t>
      </w:r>
    </w:p>
    <w:p w14:paraId="5AE4DC0A" w14:textId="77777777" w:rsidR="004348CE" w:rsidRPr="00E90AEC" w:rsidRDefault="004348CE" w:rsidP="004348CE">
      <w:pPr>
        <w:spacing w:before="240" w:after="240"/>
        <w:ind w:left="851" w:right="900"/>
        <w:jc w:val="both"/>
        <w:rPr>
          <w:rFonts w:ascii="Palatino Linotype" w:hAnsi="Palatino Linotype"/>
          <w:i/>
          <w:sz w:val="22"/>
          <w:szCs w:val="20"/>
        </w:rPr>
      </w:pPr>
      <w:r w:rsidRPr="00E90AEC">
        <w:rPr>
          <w:rFonts w:ascii="Palatino Linotype" w:hAnsi="Palatino Linotype"/>
          <w:i/>
          <w:sz w:val="22"/>
          <w:szCs w:val="20"/>
        </w:rPr>
        <w:t xml:space="preserve">III. </w:t>
      </w:r>
      <w:r w:rsidRPr="00E90AEC">
        <w:rPr>
          <w:rFonts w:ascii="Palatino Linotype" w:hAnsi="Palatino Linotype"/>
          <w:b/>
          <w:i/>
          <w:sz w:val="22"/>
          <w:szCs w:val="20"/>
          <w:u w:val="single"/>
        </w:rPr>
        <w:t xml:space="preserve">Toda persona, sin necesidad de acreditar interés alguno o justificar su utilización, tendrá acceso gratuito a la información pública, </w:t>
      </w:r>
      <w:r w:rsidRPr="00E90AEC">
        <w:rPr>
          <w:rFonts w:ascii="Palatino Linotype" w:hAnsi="Palatino Linotype"/>
          <w:i/>
          <w:sz w:val="22"/>
          <w:szCs w:val="20"/>
        </w:rPr>
        <w:t xml:space="preserve">a sus datos personales o a la rectificación de éstos. </w:t>
      </w:r>
    </w:p>
    <w:p w14:paraId="18DA5BE1" w14:textId="77777777" w:rsidR="004348CE" w:rsidRPr="00E90AEC" w:rsidRDefault="004348CE" w:rsidP="004348CE">
      <w:pPr>
        <w:spacing w:before="240" w:after="240"/>
        <w:ind w:left="851" w:right="900"/>
        <w:jc w:val="both"/>
        <w:rPr>
          <w:rFonts w:ascii="Palatino Linotype" w:hAnsi="Palatino Linotype"/>
          <w:i/>
          <w:sz w:val="22"/>
          <w:szCs w:val="20"/>
        </w:rPr>
      </w:pPr>
      <w:r w:rsidRPr="00E90AEC">
        <w:rPr>
          <w:rFonts w:ascii="Palatino Linotype" w:hAnsi="Palatino Linotype"/>
          <w:i/>
          <w:sz w:val="22"/>
          <w:szCs w:val="20"/>
        </w:rPr>
        <w:t xml:space="preserve"> (Énfasis añadido).</w:t>
      </w:r>
    </w:p>
    <w:p w14:paraId="0C037DF7" w14:textId="77777777" w:rsidR="004348CE" w:rsidRPr="00E90AEC" w:rsidRDefault="004348CE" w:rsidP="004348CE">
      <w:pPr>
        <w:spacing w:before="240" w:after="240"/>
        <w:ind w:left="851" w:right="900"/>
        <w:jc w:val="both"/>
        <w:rPr>
          <w:rFonts w:ascii="Palatino Linotype" w:hAnsi="Palatino Linotype"/>
          <w:b/>
          <w:i/>
          <w:sz w:val="22"/>
          <w:szCs w:val="20"/>
        </w:rPr>
      </w:pPr>
      <w:r w:rsidRPr="00E90AEC">
        <w:rPr>
          <w:rFonts w:ascii="Palatino Linotype" w:hAnsi="Palatino Linotype"/>
          <w:b/>
          <w:i/>
          <w:sz w:val="22"/>
          <w:szCs w:val="20"/>
        </w:rPr>
        <w:t>Constitución Política del Estado Libre y Soberano de México</w:t>
      </w:r>
    </w:p>
    <w:p w14:paraId="7D041B2F" w14:textId="77777777" w:rsidR="004348CE" w:rsidRPr="00E90AEC" w:rsidRDefault="004348CE" w:rsidP="004348CE">
      <w:pPr>
        <w:spacing w:before="240" w:after="240"/>
        <w:ind w:left="851" w:right="900"/>
        <w:jc w:val="both"/>
        <w:rPr>
          <w:rFonts w:ascii="Palatino Linotype" w:hAnsi="Palatino Linotype"/>
          <w:i/>
          <w:sz w:val="22"/>
          <w:szCs w:val="22"/>
        </w:rPr>
      </w:pPr>
      <w:r w:rsidRPr="00E90AEC">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2193CB98" w14:textId="77777777" w:rsidR="004348CE" w:rsidRPr="00E90AEC" w:rsidRDefault="004348CE" w:rsidP="004348CE">
      <w:pPr>
        <w:spacing w:before="240" w:after="240"/>
        <w:ind w:left="851" w:right="900"/>
        <w:jc w:val="both"/>
        <w:rPr>
          <w:rFonts w:ascii="Palatino Linotype" w:hAnsi="Palatino Linotype"/>
          <w:i/>
          <w:sz w:val="22"/>
          <w:szCs w:val="22"/>
        </w:rPr>
      </w:pPr>
      <w:r w:rsidRPr="00E90AEC">
        <w:rPr>
          <w:rFonts w:ascii="Palatino Linotype" w:hAnsi="Palatino Linotype"/>
          <w:i/>
          <w:sz w:val="22"/>
          <w:szCs w:val="22"/>
        </w:rPr>
        <w:t>[…]</w:t>
      </w:r>
    </w:p>
    <w:p w14:paraId="3DF640E3" w14:textId="77777777" w:rsidR="004348CE" w:rsidRPr="00E90AEC" w:rsidRDefault="004348CE" w:rsidP="004348CE">
      <w:pPr>
        <w:spacing w:before="240" w:after="240"/>
        <w:ind w:left="851" w:right="900"/>
        <w:jc w:val="both"/>
        <w:rPr>
          <w:rFonts w:ascii="Palatino Linotype" w:hAnsi="Palatino Linotype"/>
          <w:b/>
          <w:i/>
          <w:sz w:val="22"/>
          <w:szCs w:val="22"/>
          <w:u w:val="single"/>
        </w:rPr>
      </w:pPr>
      <w:r w:rsidRPr="00E90AEC">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B2426EC" w14:textId="77777777" w:rsidR="004348CE" w:rsidRPr="00E90AEC" w:rsidRDefault="004348CE" w:rsidP="004348CE">
      <w:pPr>
        <w:spacing w:before="240" w:after="240"/>
        <w:ind w:left="851" w:right="900"/>
        <w:jc w:val="both"/>
        <w:rPr>
          <w:rFonts w:ascii="Palatino Linotype" w:hAnsi="Palatino Linotype"/>
          <w:b/>
          <w:i/>
          <w:sz w:val="22"/>
          <w:szCs w:val="22"/>
          <w:u w:val="single"/>
        </w:rPr>
      </w:pPr>
      <w:r w:rsidRPr="00E90AEC">
        <w:rPr>
          <w:rFonts w:ascii="Palatino Linotype" w:hAnsi="Palatino Linotype"/>
          <w:i/>
          <w:sz w:val="22"/>
          <w:szCs w:val="22"/>
        </w:rPr>
        <w:t>Este derecho se regirá por los principios y bases siguientes:</w:t>
      </w:r>
    </w:p>
    <w:p w14:paraId="24F5F923" w14:textId="77777777" w:rsidR="004348CE" w:rsidRPr="00E90AEC" w:rsidRDefault="004348CE" w:rsidP="004348CE">
      <w:pPr>
        <w:spacing w:before="240" w:after="240"/>
        <w:ind w:left="851" w:right="900"/>
        <w:jc w:val="both"/>
        <w:rPr>
          <w:rFonts w:ascii="Palatino Linotype" w:hAnsi="Palatino Linotype"/>
          <w:i/>
          <w:sz w:val="22"/>
          <w:szCs w:val="22"/>
        </w:rPr>
      </w:pPr>
      <w:r w:rsidRPr="00E90AEC">
        <w:rPr>
          <w:rFonts w:ascii="Palatino Linotype" w:hAnsi="Palatino Linotype"/>
          <w:i/>
          <w:sz w:val="22"/>
          <w:szCs w:val="22"/>
        </w:rPr>
        <w:t xml:space="preserve">III. </w:t>
      </w:r>
      <w:r w:rsidRPr="00E90AEC">
        <w:rPr>
          <w:rFonts w:ascii="Palatino Linotype" w:hAnsi="Palatino Linotype"/>
          <w:b/>
          <w:i/>
          <w:sz w:val="22"/>
          <w:szCs w:val="22"/>
          <w:u w:val="single"/>
        </w:rPr>
        <w:t>Toda persona, sin necesidad de acreditar interés alguno o justificar su utilización, tendrá acceso gratuito a la información pública</w:t>
      </w:r>
      <w:r w:rsidRPr="00E90AEC">
        <w:rPr>
          <w:rFonts w:ascii="Palatino Linotype" w:hAnsi="Palatino Linotype"/>
          <w:i/>
          <w:sz w:val="22"/>
          <w:szCs w:val="22"/>
        </w:rPr>
        <w:t>, a sus datos personales o a la rectificación de éstos;</w:t>
      </w:r>
    </w:p>
    <w:p w14:paraId="0B637F8C" w14:textId="77777777" w:rsidR="004348CE" w:rsidRPr="00E90AEC" w:rsidRDefault="004348CE" w:rsidP="004348CE">
      <w:pPr>
        <w:spacing w:before="240" w:after="240"/>
        <w:ind w:left="851" w:right="900"/>
        <w:jc w:val="both"/>
        <w:rPr>
          <w:rFonts w:ascii="Palatino Linotype" w:hAnsi="Palatino Linotype"/>
          <w:i/>
          <w:sz w:val="22"/>
          <w:szCs w:val="22"/>
        </w:rPr>
      </w:pPr>
      <w:r w:rsidRPr="00E90AEC">
        <w:rPr>
          <w:rFonts w:ascii="Palatino Linotype" w:hAnsi="Palatino Linotype"/>
          <w:i/>
          <w:sz w:val="22"/>
          <w:szCs w:val="22"/>
        </w:rPr>
        <w:t xml:space="preserve"> (Énfasis añadido).</w:t>
      </w:r>
    </w:p>
    <w:p w14:paraId="0320CA72" w14:textId="77777777" w:rsidR="004348CE" w:rsidRPr="00E90AEC" w:rsidRDefault="004348CE" w:rsidP="004348CE">
      <w:pPr>
        <w:spacing w:before="240" w:after="240" w:line="360" w:lineRule="auto"/>
        <w:jc w:val="both"/>
        <w:rPr>
          <w:rFonts w:ascii="Palatino Linotype" w:hAnsi="Palatino Linotype"/>
        </w:rPr>
      </w:pPr>
      <w:r>
        <w:rPr>
          <w:rFonts w:ascii="Palatino Linotype" w:hAnsi="Palatino Linotype"/>
        </w:rPr>
        <w:t>Robusteciendo</w:t>
      </w:r>
      <w:r w:rsidRPr="00E90AEC">
        <w:rPr>
          <w:rFonts w:ascii="Palatino Linotype" w:hAnsi="Palatino Linotype"/>
        </w:rPr>
        <w:t xml:space="preserve"> lo anterior, el Criterio 6/2014 del entonces Instituto Federal de Acceso a la Información y Protección de Datos, ahora Instituto Nacional de Transparencia </w:t>
      </w:r>
      <w:r w:rsidRPr="00E90AEC">
        <w:rPr>
          <w:rFonts w:ascii="Palatino Linotype" w:hAnsi="Palatino Linotype"/>
        </w:rPr>
        <w:lastRenderedPageBreak/>
        <w:t>Acceso a la Información y Protección de Datos Personales, el cual se reproduce para una mayor referencia:</w:t>
      </w:r>
    </w:p>
    <w:p w14:paraId="1C032DD1" w14:textId="77777777" w:rsidR="004348CE" w:rsidRPr="00E90AEC" w:rsidRDefault="004348CE" w:rsidP="004348CE">
      <w:pPr>
        <w:tabs>
          <w:tab w:val="left" w:pos="7655"/>
        </w:tabs>
        <w:spacing w:before="240" w:after="240"/>
        <w:ind w:left="993" w:right="992"/>
        <w:jc w:val="both"/>
        <w:rPr>
          <w:rFonts w:ascii="Palatino Linotype" w:hAnsi="Palatino Linotype"/>
          <w:i/>
          <w:sz w:val="22"/>
        </w:rPr>
      </w:pPr>
      <w:r w:rsidRPr="00E90AEC">
        <w:rPr>
          <w:rFonts w:ascii="Palatino Linotype" w:hAnsi="Palatino Linotype"/>
          <w:b/>
          <w:i/>
          <w:sz w:val="22"/>
        </w:rPr>
        <w:t>“Acceso a información gubernamental. No debe condicionarse a que el solicitante acredite su personalidad, demuestre interés alguno o justifique su utilización.</w:t>
      </w:r>
      <w:r w:rsidRPr="00E90AEC">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698DF77" w14:textId="41015975" w:rsidR="004348CE" w:rsidRDefault="004348CE" w:rsidP="004348CE">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E90AEC">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w:t>
      </w:r>
      <w:r>
        <w:rPr>
          <w:rFonts w:ascii="Palatino Linotype" w:hAnsi="Palatino Linotype"/>
        </w:rPr>
        <w:t>,</w:t>
      </w:r>
      <w:r w:rsidRPr="00E90AEC">
        <w:rPr>
          <w:rFonts w:ascii="Palatino Linotype" w:hAnsi="Palatino Linotype"/>
        </w:rPr>
        <w:t xml:space="preserve"> párrafos segundo y </w:t>
      </w:r>
      <w:r>
        <w:rPr>
          <w:rFonts w:ascii="Palatino Linotype" w:hAnsi="Palatino Linotype"/>
        </w:rPr>
        <w:t>tercero, 6 apartado A fracción</w:t>
      </w:r>
      <w:r w:rsidRPr="00E90AEC">
        <w:rPr>
          <w:rFonts w:ascii="Palatino Linotype" w:hAnsi="Palatino Linotype"/>
        </w:rPr>
        <w:t xml:space="preserve"> III de la Constitución Política de los Estados Unidos Mexicanos y 5 párrafo </w:t>
      </w:r>
      <w:r>
        <w:rPr>
          <w:rFonts w:ascii="Palatino Linotype" w:hAnsi="Palatino Linotype"/>
        </w:rPr>
        <w:t>vigésimo segundo</w:t>
      </w:r>
      <w:r w:rsidRPr="00E90AEC">
        <w:rPr>
          <w:rFonts w:ascii="Palatino Linotype" w:hAnsi="Palatino Linotype"/>
        </w:rPr>
        <w:t xml:space="preserve">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45F66AFC" w14:textId="0F02C8C2" w:rsidR="00561DB1" w:rsidRPr="00CE38B5" w:rsidRDefault="004A32A1" w:rsidP="00561DB1">
      <w:pPr>
        <w:pStyle w:val="paragraph"/>
        <w:spacing w:before="0" w:beforeAutospacing="0" w:after="0" w:afterAutospacing="0" w:line="360" w:lineRule="auto"/>
        <w:ind w:right="-150"/>
        <w:jc w:val="both"/>
        <w:textAlignment w:val="baseline"/>
        <w:rPr>
          <w:rFonts w:ascii="Segoe UI" w:hAnsi="Segoe UI" w:cs="Segoe UI"/>
        </w:rPr>
      </w:pPr>
      <w:r>
        <w:rPr>
          <w:rStyle w:val="normaltextrun"/>
          <w:rFonts w:ascii="Palatino Linotype" w:hAnsi="Palatino Linotype" w:cs="Segoe UI"/>
        </w:rPr>
        <w:lastRenderedPageBreak/>
        <w:t>A</w:t>
      </w:r>
      <w:r w:rsidR="00561DB1" w:rsidRPr="00CE38B5">
        <w:rPr>
          <w:rStyle w:val="normaltextrun"/>
          <w:rFonts w:ascii="Palatino Linotype" w:hAnsi="Palatino Linotype" w:cs="Segoe UI"/>
        </w:rPr>
        <w:t>simismo, se advierte que resulta procedente</w:t>
      </w:r>
      <w:r w:rsidR="007360D1">
        <w:rPr>
          <w:rStyle w:val="normaltextrun"/>
          <w:rFonts w:ascii="Palatino Linotype" w:hAnsi="Palatino Linotype" w:cs="Segoe UI"/>
        </w:rPr>
        <w:t xml:space="preserve"> la interposición de los </w:t>
      </w:r>
      <w:r w:rsidR="00561DB1" w:rsidRPr="00CE38B5">
        <w:rPr>
          <w:rStyle w:val="normaltextrun"/>
          <w:rFonts w:ascii="Palatino Linotype" w:hAnsi="Palatino Linotype" w:cs="Segoe UI"/>
        </w:rPr>
        <w:t>recurso</w:t>
      </w:r>
      <w:r w:rsidR="007360D1">
        <w:rPr>
          <w:rStyle w:val="normaltextrun"/>
          <w:rFonts w:ascii="Palatino Linotype" w:hAnsi="Palatino Linotype" w:cs="Segoe UI"/>
        </w:rPr>
        <w:t>s</w:t>
      </w:r>
      <w:r w:rsidR="00561DB1">
        <w:rPr>
          <w:rStyle w:val="normaltextrun"/>
          <w:rFonts w:ascii="Palatino Linotype" w:hAnsi="Palatino Linotype" w:cs="Segoe UI"/>
        </w:rPr>
        <w:t xml:space="preserve">, según lo aducido por el recurrente, </w:t>
      </w:r>
      <w:r w:rsidR="00561DB1" w:rsidRPr="00CE38B5">
        <w:rPr>
          <w:rStyle w:val="normaltextrun"/>
          <w:rFonts w:ascii="Palatino Linotype" w:hAnsi="Palatino Linotype" w:cs="Segoe UI"/>
        </w:rPr>
        <w:t>en términos del artículo</w:t>
      </w:r>
      <w:r w:rsidR="008C4988">
        <w:rPr>
          <w:rStyle w:val="apple-converted-space"/>
          <w:rFonts w:ascii="Palatino Linotype" w:hAnsi="Palatino Linotype" w:cs="Segoe UI"/>
        </w:rPr>
        <w:t xml:space="preserve"> </w:t>
      </w:r>
      <w:r w:rsidR="00561DB1">
        <w:rPr>
          <w:rStyle w:val="normaltextrun"/>
          <w:rFonts w:ascii="Palatino Linotype" w:hAnsi="Palatino Linotype" w:cs="Segoe UI"/>
        </w:rPr>
        <w:t>179</w:t>
      </w:r>
      <w:r w:rsidR="00DD1B8B">
        <w:rPr>
          <w:rStyle w:val="normaltextrun"/>
          <w:rFonts w:ascii="Palatino Linotype" w:hAnsi="Palatino Linotype" w:cs="Segoe UI"/>
        </w:rPr>
        <w:t>, fracción</w:t>
      </w:r>
      <w:r w:rsidR="004348CE">
        <w:rPr>
          <w:rStyle w:val="normaltextrun"/>
          <w:rFonts w:ascii="Palatino Linotype" w:hAnsi="Palatino Linotype" w:cs="Segoe UI"/>
        </w:rPr>
        <w:t xml:space="preserve"> I</w:t>
      </w:r>
      <w:r w:rsidR="009C7BB8">
        <w:rPr>
          <w:rStyle w:val="normaltextrun"/>
          <w:rFonts w:ascii="Palatino Linotype" w:hAnsi="Palatino Linotype" w:cs="Segoe UI"/>
        </w:rPr>
        <w:t xml:space="preserve"> </w:t>
      </w:r>
      <w:r w:rsidR="00561DB1" w:rsidRPr="00CE38B5">
        <w:rPr>
          <w:rStyle w:val="normaltextrun"/>
          <w:rFonts w:ascii="Palatino Linotype" w:hAnsi="Palatino Linotype" w:cs="Segoe UI"/>
        </w:rPr>
        <w:t>del ordenamiento legal citado, que a la letra dice:</w:t>
      </w:r>
      <w:r w:rsidR="00561DB1" w:rsidRPr="00CE38B5">
        <w:rPr>
          <w:rStyle w:val="eop"/>
          <w:rFonts w:ascii="Palatino Linotype" w:hAnsi="Palatino Linotype" w:cs="Segoe UI"/>
        </w:rPr>
        <w:t> </w:t>
      </w:r>
    </w:p>
    <w:p w14:paraId="6EDB9DE7" w14:textId="4352041C" w:rsidR="00561DB1" w:rsidRDefault="00561DB1" w:rsidP="001E1037">
      <w:pPr>
        <w:pStyle w:val="paragraph"/>
        <w:spacing w:before="240" w:beforeAutospacing="0" w:after="240" w:afterAutospacing="0"/>
        <w:ind w:left="993" w:right="1041"/>
        <w:jc w:val="both"/>
        <w:textAlignment w:val="baseline"/>
        <w:rPr>
          <w:rFonts w:ascii="Palatino Linotype" w:hAnsi="Palatino Linotype"/>
          <w:i/>
          <w:sz w:val="22"/>
          <w:szCs w:val="22"/>
        </w:rPr>
      </w:pPr>
      <w:r w:rsidRPr="00604C81">
        <w:rPr>
          <w:rStyle w:val="normaltextrun"/>
          <w:rFonts w:ascii="Palatino Linotype" w:hAnsi="Palatino Linotype" w:cs="Segoe UI"/>
          <w:b/>
          <w:bCs/>
          <w:i/>
          <w:iCs/>
          <w:sz w:val="22"/>
          <w:szCs w:val="22"/>
        </w:rPr>
        <w:t>“</w:t>
      </w:r>
      <w:r w:rsidRPr="00604C81">
        <w:rPr>
          <w:rFonts w:ascii="Palatino Linotype" w:hAnsi="Palatino Linotype"/>
          <w:b/>
          <w:i/>
          <w:sz w:val="22"/>
          <w:szCs w:val="22"/>
        </w:rPr>
        <w:t>Artículo 179</w:t>
      </w:r>
      <w:r w:rsidRPr="00604C81">
        <w:rPr>
          <w:rFonts w:ascii="Palatino Linotype" w:hAnsi="Palatino Linotype"/>
          <w:i/>
          <w:sz w:val="22"/>
          <w:szCs w:val="22"/>
        </w:rPr>
        <w:t xml:space="preserve">. </w:t>
      </w:r>
      <w:r w:rsidRPr="00A7051A">
        <w:rPr>
          <w:rFonts w:ascii="Palatino Linotype" w:hAnsi="Palatino Linotype"/>
          <w:b/>
          <w:i/>
          <w:sz w:val="22"/>
          <w:szCs w:val="22"/>
        </w:rPr>
        <w:t>El recurso de revisión</w:t>
      </w:r>
      <w:r w:rsidRPr="00604C81">
        <w:rPr>
          <w:rFonts w:ascii="Palatino Linotype" w:hAnsi="Palatino Linotype"/>
          <w:i/>
          <w:sz w:val="22"/>
          <w:szCs w:val="22"/>
        </w:rPr>
        <w:t xml:space="preserve"> es un medio de protección que la Ley otorga a los particulares, para hacer valer su derecho de acceso a la información pública</w:t>
      </w:r>
      <w:r w:rsidRPr="00A7051A">
        <w:rPr>
          <w:rFonts w:ascii="Palatino Linotype" w:hAnsi="Palatino Linotype"/>
          <w:b/>
          <w:i/>
          <w:sz w:val="22"/>
          <w:szCs w:val="22"/>
        </w:rPr>
        <w:t>, y procederá en contra de las siguientes causas</w:t>
      </w:r>
      <w:r w:rsidRPr="00604C81">
        <w:rPr>
          <w:rFonts w:ascii="Palatino Linotype" w:hAnsi="Palatino Linotype"/>
          <w:i/>
          <w:sz w:val="22"/>
          <w:szCs w:val="22"/>
        </w:rPr>
        <w:t>:</w:t>
      </w:r>
    </w:p>
    <w:p w14:paraId="4334699E" w14:textId="5C006CE9" w:rsidR="00561DB1" w:rsidRPr="008C26B9" w:rsidRDefault="004348CE" w:rsidP="008C26B9">
      <w:pPr>
        <w:pStyle w:val="paragraph"/>
        <w:spacing w:before="240" w:beforeAutospacing="0" w:after="240" w:afterAutospacing="0"/>
        <w:ind w:left="993" w:right="1041"/>
        <w:jc w:val="both"/>
        <w:textAlignment w:val="baseline"/>
        <w:rPr>
          <w:rFonts w:ascii="Palatino Linotype" w:hAnsi="Palatino Linotype"/>
          <w:i/>
          <w:sz w:val="22"/>
          <w:szCs w:val="22"/>
        </w:rPr>
      </w:pPr>
      <w:r>
        <w:rPr>
          <w:rStyle w:val="eop"/>
          <w:rFonts w:ascii="Palatino Linotype" w:hAnsi="Palatino Linotype" w:cs="Segoe UI"/>
          <w:b/>
          <w:i/>
          <w:sz w:val="22"/>
          <w:szCs w:val="22"/>
        </w:rPr>
        <w:t>I</w:t>
      </w:r>
      <w:r w:rsidR="001E1037">
        <w:rPr>
          <w:rStyle w:val="eop"/>
          <w:rFonts w:ascii="Palatino Linotype" w:hAnsi="Palatino Linotype" w:cs="Segoe UI"/>
          <w:b/>
          <w:i/>
          <w:sz w:val="22"/>
          <w:szCs w:val="22"/>
        </w:rPr>
        <w:t xml:space="preserve">. </w:t>
      </w:r>
      <w:r>
        <w:rPr>
          <w:rStyle w:val="eop"/>
          <w:rFonts w:ascii="Palatino Linotype" w:hAnsi="Palatino Linotype" w:cs="Segoe UI"/>
          <w:i/>
          <w:sz w:val="22"/>
          <w:szCs w:val="22"/>
        </w:rPr>
        <w:t>La negativa a la información solicitada</w:t>
      </w:r>
      <w:r w:rsidR="009455DD">
        <w:rPr>
          <w:rStyle w:val="eop"/>
          <w:rFonts w:ascii="Palatino Linotype" w:hAnsi="Palatino Linotype" w:cs="Segoe UI"/>
          <w:i/>
          <w:sz w:val="22"/>
          <w:szCs w:val="22"/>
        </w:rPr>
        <w:t>;</w:t>
      </w:r>
      <w:r w:rsidR="000A297C">
        <w:rPr>
          <w:rStyle w:val="eop"/>
          <w:rFonts w:ascii="Palatino Linotype" w:hAnsi="Palatino Linotype" w:cs="Segoe UI"/>
          <w:i/>
          <w:sz w:val="22"/>
          <w:szCs w:val="22"/>
        </w:rPr>
        <w:t>…</w:t>
      </w:r>
      <w:r w:rsidR="00561DB1" w:rsidRPr="00604C81">
        <w:rPr>
          <w:rStyle w:val="normaltextrun"/>
          <w:rFonts w:ascii="Palatino Linotype" w:hAnsi="Palatino Linotype" w:cs="Segoe UI"/>
          <w:b/>
          <w:bCs/>
          <w:i/>
          <w:iCs/>
          <w:sz w:val="22"/>
          <w:szCs w:val="22"/>
        </w:rPr>
        <w:t>”</w:t>
      </w:r>
      <w:r w:rsidR="00561DB1" w:rsidRPr="00604C81">
        <w:rPr>
          <w:rStyle w:val="eop"/>
          <w:rFonts w:ascii="Palatino Linotype" w:hAnsi="Palatino Linotype" w:cs="Segoe UI"/>
          <w:i/>
          <w:sz w:val="22"/>
          <w:szCs w:val="22"/>
        </w:rPr>
        <w:t> </w:t>
      </w:r>
    </w:p>
    <w:p w14:paraId="2410067E" w14:textId="31018DF7" w:rsidR="000E0A35" w:rsidRPr="00C52589" w:rsidRDefault="00561DB1" w:rsidP="00BC3FF4">
      <w:pPr>
        <w:pStyle w:val="paragraph"/>
        <w:spacing w:before="0" w:beforeAutospacing="0" w:after="240" w:afterAutospacing="0" w:line="360" w:lineRule="auto"/>
        <w:jc w:val="both"/>
        <w:textAlignment w:val="baseline"/>
        <w:rPr>
          <w:rFonts w:ascii="Palatino Linotype" w:hAnsi="Palatino Linotype" w:cs="Segoe UI"/>
        </w:rPr>
      </w:pPr>
      <w:r w:rsidRPr="007C3859">
        <w:rPr>
          <w:rStyle w:val="normaltextrun"/>
          <w:rFonts w:ascii="Palatino Linotype" w:hAnsi="Palatino Linotype" w:cs="Segoe UI"/>
          <w:color w:val="000000" w:themeColor="text1"/>
        </w:rPr>
        <w:t>Lo anterior se afirma así ya que</w:t>
      </w:r>
      <w:r w:rsidR="000B30DE">
        <w:rPr>
          <w:rStyle w:val="normaltextrun"/>
          <w:rFonts w:ascii="Palatino Linotype" w:hAnsi="Palatino Linotype" w:cs="Segoe UI"/>
          <w:color w:val="000000" w:themeColor="text1"/>
        </w:rPr>
        <w:t xml:space="preserve"> el</w:t>
      </w:r>
      <w:r w:rsidR="00EE727F">
        <w:rPr>
          <w:rStyle w:val="normaltextrun"/>
          <w:rFonts w:ascii="Palatino Linotype" w:hAnsi="Palatino Linotype" w:cs="Segoe UI"/>
          <w:color w:val="000000" w:themeColor="text1"/>
        </w:rPr>
        <w:t xml:space="preserve"> recurrente se duele </w:t>
      </w:r>
      <w:r w:rsidR="009455DD">
        <w:rPr>
          <w:rStyle w:val="normaltextrun"/>
          <w:rFonts w:ascii="Palatino Linotype" w:hAnsi="Palatino Linotype" w:cs="Segoe UI"/>
          <w:color w:val="000000" w:themeColor="text1"/>
        </w:rPr>
        <w:t xml:space="preserve">debido a que el Sujeto Obligado </w:t>
      </w:r>
      <w:r w:rsidR="00DD1B8B">
        <w:rPr>
          <w:rStyle w:val="normaltextrun"/>
          <w:rFonts w:ascii="Palatino Linotype" w:hAnsi="Palatino Linotype" w:cs="Segoe UI"/>
          <w:color w:val="000000" w:themeColor="text1"/>
        </w:rPr>
        <w:t>refirió a la particular que</w:t>
      </w:r>
      <w:r w:rsidR="004348CE">
        <w:rPr>
          <w:rStyle w:val="normaltextrun"/>
          <w:rFonts w:ascii="Palatino Linotype" w:hAnsi="Palatino Linotype" w:cs="Segoe UI"/>
          <w:color w:val="000000" w:themeColor="text1"/>
        </w:rPr>
        <w:t xml:space="preserve"> respecto de la información materia de sus solicitudes se estaban generando los archivos correspondientes y estaba en proceso de creación</w:t>
      </w:r>
      <w:r w:rsidR="009268DE">
        <w:rPr>
          <w:rStyle w:val="normaltextrun"/>
          <w:rFonts w:ascii="Palatino Linotype" w:hAnsi="Palatino Linotype" w:cs="Segoe UI"/>
          <w:color w:val="000000" w:themeColor="text1"/>
        </w:rPr>
        <w:t>.</w:t>
      </w:r>
    </w:p>
    <w:p w14:paraId="0774031E" w14:textId="340E5FD8" w:rsidR="00373004" w:rsidRPr="00623957" w:rsidRDefault="00980B9F" w:rsidP="00373004">
      <w:pPr>
        <w:pStyle w:val="paragraph"/>
        <w:spacing w:before="0" w:beforeAutospacing="0" w:after="240" w:afterAutospacing="0" w:line="360" w:lineRule="auto"/>
        <w:jc w:val="both"/>
        <w:textAlignment w:val="baseline"/>
        <w:rPr>
          <w:rFonts w:ascii="Segoe UI" w:hAnsi="Segoe UI" w:cs="Segoe UI"/>
          <w:sz w:val="12"/>
          <w:szCs w:val="12"/>
        </w:rPr>
      </w:pPr>
      <w:r w:rsidRPr="00980B9F">
        <w:rPr>
          <w:rFonts w:ascii="Palatino Linotype" w:hAnsi="Palatino Linotype" w:cs="Arial"/>
          <w:b/>
          <w:color w:val="000000" w:themeColor="text1"/>
        </w:rPr>
        <w:t>Tercero.</w:t>
      </w:r>
      <w:r w:rsidR="00373004" w:rsidRPr="00623957">
        <w:rPr>
          <w:rFonts w:ascii="Palatino Linotype" w:hAnsi="Palatino Linotype" w:cs="Arial"/>
          <w:b/>
        </w:rPr>
        <w:t xml:space="preserve"> Materia de la revisión. </w:t>
      </w:r>
      <w:r w:rsidR="00373004" w:rsidRPr="00623957">
        <w:rPr>
          <w:rFonts w:ascii="Palatino Linotype" w:hAnsi="Palatino Linotype" w:cs="Arial"/>
        </w:rPr>
        <w:t xml:space="preserve">De la revisión a las constancias que obran en el expediente electrónico se advierte que el tema sobre el que este Instituto se pronunciará será: </w:t>
      </w:r>
      <w:r w:rsidR="007C3859">
        <w:rPr>
          <w:rFonts w:ascii="Palatino Linotype" w:hAnsi="Palatino Linotype" w:cs="Arial"/>
          <w:b/>
        </w:rPr>
        <w:t xml:space="preserve">verificar si </w:t>
      </w:r>
      <w:r w:rsidR="00E40E2E">
        <w:rPr>
          <w:rFonts w:ascii="Palatino Linotype" w:hAnsi="Palatino Linotype" w:cs="Arial"/>
          <w:b/>
        </w:rPr>
        <w:t>la</w:t>
      </w:r>
      <w:r w:rsidR="008C4988">
        <w:rPr>
          <w:rFonts w:ascii="Palatino Linotype" w:hAnsi="Palatino Linotype" w:cs="Arial"/>
          <w:b/>
        </w:rPr>
        <w:t>s</w:t>
      </w:r>
      <w:r w:rsidR="00E40E2E">
        <w:rPr>
          <w:rFonts w:ascii="Palatino Linotype" w:hAnsi="Palatino Linotype" w:cs="Arial"/>
          <w:b/>
        </w:rPr>
        <w:t xml:space="preserve"> respuesta</w:t>
      </w:r>
      <w:r w:rsidR="008C4988">
        <w:rPr>
          <w:rFonts w:ascii="Palatino Linotype" w:hAnsi="Palatino Linotype" w:cs="Arial"/>
          <w:b/>
        </w:rPr>
        <w:t>s</w:t>
      </w:r>
      <w:r w:rsidR="007C3859">
        <w:rPr>
          <w:rFonts w:ascii="Palatino Linotype" w:hAnsi="Palatino Linotype" w:cs="Arial"/>
          <w:b/>
        </w:rPr>
        <w:t xml:space="preserve"> del Sujeto Obligado</w:t>
      </w:r>
      <w:r w:rsidR="008C4988">
        <w:rPr>
          <w:rFonts w:ascii="Palatino Linotype" w:hAnsi="Palatino Linotype" w:cs="Arial"/>
          <w:b/>
        </w:rPr>
        <w:t xml:space="preserve"> son</w:t>
      </w:r>
      <w:r w:rsidR="00E40E2E">
        <w:rPr>
          <w:rFonts w:ascii="Palatino Linotype" w:hAnsi="Palatino Linotype" w:cs="Arial"/>
          <w:b/>
        </w:rPr>
        <w:t xml:space="preserve"> correcta</w:t>
      </w:r>
      <w:r w:rsidR="008C4988">
        <w:rPr>
          <w:rFonts w:ascii="Palatino Linotype" w:hAnsi="Palatino Linotype" w:cs="Arial"/>
          <w:b/>
        </w:rPr>
        <w:t>s</w:t>
      </w:r>
      <w:r w:rsidR="00EE727F">
        <w:rPr>
          <w:rFonts w:ascii="Palatino Linotype" w:hAnsi="Palatino Linotype" w:cs="Arial"/>
          <w:b/>
        </w:rPr>
        <w:t xml:space="preserve"> y suficiente</w:t>
      </w:r>
      <w:r w:rsidR="008C4988">
        <w:rPr>
          <w:rFonts w:ascii="Palatino Linotype" w:hAnsi="Palatino Linotype" w:cs="Arial"/>
          <w:b/>
        </w:rPr>
        <w:t>s</w:t>
      </w:r>
      <w:r w:rsidR="00E40E2E">
        <w:rPr>
          <w:rFonts w:ascii="Palatino Linotype" w:hAnsi="Palatino Linotype" w:cs="Arial"/>
          <w:b/>
        </w:rPr>
        <w:t xml:space="preserve"> para</w:t>
      </w:r>
      <w:r w:rsidR="007C3859">
        <w:rPr>
          <w:rFonts w:ascii="Palatino Linotype" w:hAnsi="Palatino Linotype" w:cs="Arial"/>
          <w:b/>
        </w:rPr>
        <w:t xml:space="preserve"> satisface</w:t>
      </w:r>
      <w:r w:rsidR="00E40E2E">
        <w:rPr>
          <w:rFonts w:ascii="Palatino Linotype" w:hAnsi="Palatino Linotype" w:cs="Arial"/>
          <w:b/>
        </w:rPr>
        <w:t>r</w:t>
      </w:r>
      <w:r w:rsidR="007C3859">
        <w:rPr>
          <w:rFonts w:ascii="Palatino Linotype" w:hAnsi="Palatino Linotype" w:cs="Arial"/>
          <w:b/>
        </w:rPr>
        <w:t xml:space="preserve"> </w:t>
      </w:r>
      <w:r w:rsidR="008C4988">
        <w:rPr>
          <w:rFonts w:ascii="Palatino Linotype" w:hAnsi="Palatino Linotype" w:cs="Arial"/>
          <w:b/>
        </w:rPr>
        <w:t>las solicitudes de acceso formuladas</w:t>
      </w:r>
      <w:r w:rsidR="004348CE">
        <w:rPr>
          <w:rFonts w:ascii="Palatino Linotype" w:hAnsi="Palatino Linotype" w:cs="Arial"/>
          <w:b/>
        </w:rPr>
        <w:t xml:space="preserve"> por el</w:t>
      </w:r>
      <w:r w:rsidR="007C3859">
        <w:rPr>
          <w:rFonts w:ascii="Palatino Linotype" w:hAnsi="Palatino Linotype" w:cs="Arial"/>
          <w:b/>
        </w:rPr>
        <w:t xml:space="preserve"> recurrente</w:t>
      </w:r>
      <w:r w:rsidR="00373004" w:rsidRPr="00623957">
        <w:rPr>
          <w:rFonts w:ascii="Palatino Linotype" w:hAnsi="Palatino Linotype" w:cs="Arial"/>
          <w:b/>
        </w:rPr>
        <w:t>.</w:t>
      </w:r>
    </w:p>
    <w:p w14:paraId="1D284D58" w14:textId="77777777" w:rsidR="009D37D9" w:rsidRPr="00664A68" w:rsidRDefault="00980B9F" w:rsidP="002969D8">
      <w:pPr>
        <w:spacing w:before="240" w:after="240" w:line="360" w:lineRule="auto"/>
        <w:jc w:val="both"/>
        <w:rPr>
          <w:rFonts w:ascii="Palatino Linotype" w:hAnsi="Palatino Linotype" w:cs="Arial"/>
        </w:rPr>
      </w:pPr>
      <w:r w:rsidRPr="00B81188">
        <w:rPr>
          <w:rFonts w:ascii="Palatino Linotype" w:hAnsi="Palatino Linotype" w:cs="Arial"/>
          <w:b/>
        </w:rPr>
        <w:t>Cuarto</w:t>
      </w:r>
      <w:r w:rsidR="00373004" w:rsidRPr="00B81188">
        <w:rPr>
          <w:rFonts w:ascii="Palatino Linotype" w:hAnsi="Palatino Linotype" w:cs="Arial"/>
          <w:b/>
        </w:rPr>
        <w:t xml:space="preserve">. Estudio del asunto. </w:t>
      </w:r>
      <w:r w:rsidR="00373004" w:rsidRPr="00B81188">
        <w:rPr>
          <w:rFonts w:ascii="Palatino Linotype" w:hAnsi="Palatino Linotype" w:cs="Arial"/>
        </w:rPr>
        <w:t>Como fue referido en los antecedent</w:t>
      </w:r>
      <w:r w:rsidR="00D55A77" w:rsidRPr="00B81188">
        <w:rPr>
          <w:rFonts w:ascii="Palatino Linotype" w:hAnsi="Palatino Linotype" w:cs="Arial"/>
        </w:rPr>
        <w:t xml:space="preserve">es de la presente </w:t>
      </w:r>
      <w:r w:rsidR="00D733BA">
        <w:rPr>
          <w:rFonts w:ascii="Palatino Linotype" w:hAnsi="Palatino Linotype" w:cs="Arial"/>
          <w:color w:val="000000" w:themeColor="text1"/>
        </w:rPr>
        <w:t>resolución,</w:t>
      </w:r>
      <w:r w:rsidR="009455DD">
        <w:rPr>
          <w:rFonts w:ascii="Palatino Linotype" w:hAnsi="Palatino Linotype" w:cs="Arial"/>
          <w:color w:val="000000" w:themeColor="text1"/>
        </w:rPr>
        <w:t xml:space="preserve"> del análisis a las solicitudes de información se advierte que </w:t>
      </w:r>
      <w:r w:rsidR="00D55A77">
        <w:rPr>
          <w:rFonts w:ascii="Palatino Linotype" w:hAnsi="Palatino Linotype" w:cs="Arial"/>
          <w:color w:val="000000" w:themeColor="text1"/>
        </w:rPr>
        <w:t>la</w:t>
      </w:r>
      <w:r w:rsidR="00E67D31">
        <w:rPr>
          <w:rFonts w:ascii="Palatino Linotype" w:hAnsi="Palatino Linotype" w:cs="Arial"/>
          <w:color w:val="000000" w:themeColor="text1"/>
        </w:rPr>
        <w:t xml:space="preserve"> parte</w:t>
      </w:r>
      <w:r w:rsidR="00373004" w:rsidRPr="00E40E2E">
        <w:rPr>
          <w:rFonts w:ascii="Palatino Linotype" w:hAnsi="Palatino Linotype" w:cs="Arial"/>
          <w:color w:val="000000" w:themeColor="text1"/>
        </w:rPr>
        <w:t xml:space="preserve"> recurrente</w:t>
      </w:r>
      <w:r w:rsidR="003034D0">
        <w:rPr>
          <w:rFonts w:ascii="Palatino Linotype" w:hAnsi="Palatino Linotype" w:cs="Arial"/>
          <w:color w:val="000000" w:themeColor="text1"/>
        </w:rPr>
        <w:t>,</w:t>
      </w:r>
      <w:r w:rsidR="009455DD">
        <w:rPr>
          <w:rFonts w:ascii="Palatino Linotype" w:hAnsi="Palatino Linotype" w:cs="Arial"/>
          <w:color w:val="000000" w:themeColor="text1"/>
        </w:rPr>
        <w:t xml:space="preserve"> </w:t>
      </w:r>
      <w:r w:rsidR="009D37D9">
        <w:rPr>
          <w:rFonts w:ascii="Palatino Linotype" w:hAnsi="Palatino Linotype" w:cs="Arial"/>
          <w:color w:val="000000" w:themeColor="text1"/>
        </w:rPr>
        <w:t xml:space="preserve">en resumen </w:t>
      </w:r>
      <w:r w:rsidR="00373004" w:rsidRPr="00E40E2E">
        <w:rPr>
          <w:rFonts w:ascii="Palatino Linotype" w:hAnsi="Palatino Linotype" w:cs="Arial"/>
          <w:color w:val="000000" w:themeColor="text1"/>
        </w:rPr>
        <w:t xml:space="preserve">requirió </w:t>
      </w:r>
      <w:r w:rsidR="001B7ED4" w:rsidRPr="00E40E2E">
        <w:rPr>
          <w:rFonts w:ascii="Palatino Linotype" w:hAnsi="Palatino Linotype" w:cs="Arial"/>
          <w:color w:val="000000" w:themeColor="text1"/>
        </w:rPr>
        <w:t>a</w:t>
      </w:r>
      <w:r w:rsidR="009D37D9">
        <w:rPr>
          <w:rFonts w:ascii="Palatino Linotype" w:hAnsi="Palatino Linotype" w:cs="Arial"/>
          <w:color w:val="000000" w:themeColor="text1"/>
        </w:rPr>
        <w:t>l Ayuntamiento de Melchor Ocampo</w:t>
      </w:r>
      <w:r w:rsidR="00E67D31">
        <w:rPr>
          <w:rFonts w:ascii="Palatino Linotype" w:hAnsi="Palatino Linotype" w:cs="Arial"/>
          <w:color w:val="000000" w:themeColor="text1"/>
        </w:rPr>
        <w:t xml:space="preserve"> le </w:t>
      </w:r>
      <w:r w:rsidR="00F4229C" w:rsidRPr="00664A68">
        <w:rPr>
          <w:rFonts w:ascii="Palatino Linotype" w:hAnsi="Palatino Linotype" w:cs="Arial"/>
        </w:rPr>
        <w:t xml:space="preserve">proporcionara </w:t>
      </w:r>
      <w:r w:rsidR="009D37D9" w:rsidRPr="00664A68">
        <w:rPr>
          <w:rFonts w:ascii="Palatino Linotype" w:hAnsi="Palatino Linotype" w:cs="Arial"/>
        </w:rPr>
        <w:t>lo siguiente:</w:t>
      </w:r>
    </w:p>
    <w:p w14:paraId="65B5B023" w14:textId="5811F8BE" w:rsidR="00B72F90" w:rsidRPr="00664A68" w:rsidRDefault="009D37D9" w:rsidP="009D37D9">
      <w:pPr>
        <w:pStyle w:val="Prrafodelista"/>
        <w:numPr>
          <w:ilvl w:val="0"/>
          <w:numId w:val="22"/>
        </w:numPr>
        <w:spacing w:before="240" w:after="240" w:line="360" w:lineRule="auto"/>
        <w:jc w:val="both"/>
        <w:rPr>
          <w:rFonts w:ascii="Palatino Linotype" w:hAnsi="Palatino Linotype" w:cs="Arial"/>
        </w:rPr>
      </w:pPr>
      <w:r w:rsidRPr="00664A68">
        <w:rPr>
          <w:rFonts w:ascii="Palatino Linotype" w:hAnsi="Palatino Linotype" w:cs="Arial"/>
        </w:rPr>
        <w:t>La información contenida en el disco 3 de los informes mensuales de los meses de enero a diciembre del año 2017, de acuerdo con los Lineamientos para la integración del informe mensual 2017 emitidos por el OSFEM.</w:t>
      </w:r>
    </w:p>
    <w:p w14:paraId="2AB1E33F" w14:textId="7B5C0697" w:rsidR="009D37D9" w:rsidRPr="00664A68" w:rsidRDefault="009D37D9" w:rsidP="009D37D9">
      <w:pPr>
        <w:pStyle w:val="Prrafodelista"/>
        <w:numPr>
          <w:ilvl w:val="0"/>
          <w:numId w:val="22"/>
        </w:numPr>
        <w:spacing w:before="240" w:after="240" w:line="360" w:lineRule="auto"/>
        <w:jc w:val="both"/>
        <w:rPr>
          <w:rFonts w:ascii="Palatino Linotype" w:hAnsi="Palatino Linotype" w:cs="Arial"/>
        </w:rPr>
      </w:pPr>
      <w:r w:rsidRPr="00664A68">
        <w:rPr>
          <w:rFonts w:ascii="Palatino Linotype" w:hAnsi="Palatino Linotype" w:cs="Arial"/>
        </w:rPr>
        <w:lastRenderedPageBreak/>
        <w:t>La información contenida en el disco 4 de los informes mensuales de los meses de enero a diciembre del año 2017, de acuerdo con los Lineamientos para la integración del informe mensual 2017 emitidos por el OSFEM.</w:t>
      </w:r>
    </w:p>
    <w:p w14:paraId="12BD185B" w14:textId="549CA102" w:rsidR="009D37D9" w:rsidRPr="00664A68" w:rsidRDefault="009D37D9" w:rsidP="009D37D9">
      <w:pPr>
        <w:pStyle w:val="Prrafodelista"/>
        <w:numPr>
          <w:ilvl w:val="0"/>
          <w:numId w:val="22"/>
        </w:numPr>
        <w:spacing w:before="240" w:after="240" w:line="360" w:lineRule="auto"/>
        <w:jc w:val="both"/>
        <w:rPr>
          <w:rFonts w:ascii="Palatino Linotype" w:hAnsi="Palatino Linotype" w:cs="Arial"/>
        </w:rPr>
      </w:pPr>
      <w:r w:rsidRPr="00664A68">
        <w:rPr>
          <w:rFonts w:ascii="Palatino Linotype" w:hAnsi="Palatino Linotype" w:cs="Arial"/>
        </w:rPr>
        <w:t>Las pólizas de pago, transferencias bancarias y facturas de los pagos realizados por las obras de remodelación del auditorio “Ricardo Flores Magón”, actualmente denominado “Auditorio municipal del centenario Ricardo y Enrique Flores Magón”.</w:t>
      </w:r>
    </w:p>
    <w:p w14:paraId="5D6D6541" w14:textId="0A7C72B2" w:rsidR="00B72F90" w:rsidRDefault="009455DD" w:rsidP="002969D8">
      <w:pPr>
        <w:spacing w:before="240" w:after="240" w:line="360" w:lineRule="auto"/>
        <w:jc w:val="both"/>
        <w:rPr>
          <w:rFonts w:ascii="Palatino Linotype" w:hAnsi="Palatino Linotype"/>
        </w:rPr>
      </w:pPr>
      <w:r>
        <w:rPr>
          <w:rFonts w:ascii="Palatino Linotype" w:hAnsi="Palatino Linotype" w:cs="Arial"/>
          <w:color w:val="000000" w:themeColor="text1"/>
        </w:rPr>
        <w:t>A</w:t>
      </w:r>
      <w:r w:rsidR="00E67D31">
        <w:rPr>
          <w:rFonts w:ascii="Palatino Linotype" w:hAnsi="Palatino Linotype" w:cs="Arial"/>
          <w:color w:val="000000" w:themeColor="text1"/>
        </w:rPr>
        <w:t xml:space="preserve">nte lo cual el Sujeto Obligado respondió </w:t>
      </w:r>
      <w:r w:rsidR="007D313D">
        <w:rPr>
          <w:rFonts w:ascii="Palatino Linotype" w:hAnsi="Palatino Linotype" w:cs="Arial"/>
          <w:color w:val="000000" w:themeColor="text1"/>
        </w:rPr>
        <w:t>que se estaban generado los archivos correspondientes con los informes mensuales de los discos 3 y 4</w:t>
      </w:r>
      <w:r w:rsidR="007D313D">
        <w:rPr>
          <w:rFonts w:ascii="Palatino Linotype" w:hAnsi="Palatino Linotype"/>
        </w:rPr>
        <w:t xml:space="preserve">; y que lo concerniente a las pólizas de pago, transferencias bancarias y facturas de pagos </w:t>
      </w:r>
      <w:r w:rsidR="001019E0">
        <w:rPr>
          <w:rFonts w:ascii="Palatino Linotype" w:hAnsi="Palatino Linotype"/>
        </w:rPr>
        <w:t>por las obras de remodelación del auditorio municipal del centenario Ricardo y Enrique Flores Magón,</w:t>
      </w:r>
      <w:r w:rsidR="007D313D">
        <w:rPr>
          <w:rFonts w:ascii="Palatino Linotype" w:hAnsi="Palatino Linotype"/>
        </w:rPr>
        <w:t xml:space="preserve"> estaba en proceso de creaci</w:t>
      </w:r>
      <w:r w:rsidR="001019E0">
        <w:rPr>
          <w:rFonts w:ascii="Palatino Linotype" w:hAnsi="Palatino Linotype"/>
        </w:rPr>
        <w:t>ón; incluso mediante la respuesta a las</w:t>
      </w:r>
      <w:r w:rsidR="00664A68">
        <w:rPr>
          <w:rFonts w:ascii="Palatino Linotype" w:hAnsi="Palatino Linotype"/>
        </w:rPr>
        <w:t xml:space="preserve"> tres solicitudes refirió que</w:t>
      </w:r>
      <w:r w:rsidR="001019E0">
        <w:rPr>
          <w:rFonts w:ascii="Palatino Linotype" w:hAnsi="Palatino Linotype"/>
        </w:rPr>
        <w:t xml:space="preserve"> las mismas se archivaban como conclu</w:t>
      </w:r>
      <w:r w:rsidR="0000564B">
        <w:rPr>
          <w:rFonts w:ascii="Palatino Linotype" w:hAnsi="Palatino Linotype"/>
        </w:rPr>
        <w:t xml:space="preserve">idas </w:t>
      </w:r>
    </w:p>
    <w:p w14:paraId="6D16EF03" w14:textId="4FC0A2F8" w:rsidR="00C76B62" w:rsidRPr="00842458" w:rsidRDefault="00774D03" w:rsidP="002969D8">
      <w:pPr>
        <w:spacing w:before="240" w:after="240" w:line="360" w:lineRule="auto"/>
        <w:jc w:val="both"/>
        <w:rPr>
          <w:rFonts w:ascii="Palatino Linotype" w:hAnsi="Palatino Linotype" w:cs="Arial"/>
        </w:rPr>
      </w:pPr>
      <w:r w:rsidRPr="00DA3C6B">
        <w:rPr>
          <w:rFonts w:ascii="Palatino Linotype" w:hAnsi="Palatino Linotype" w:cs="Arial"/>
        </w:rPr>
        <w:t xml:space="preserve">Así al momento de inconformarse la </w:t>
      </w:r>
      <w:r w:rsidR="00A24684">
        <w:rPr>
          <w:rFonts w:ascii="Palatino Linotype" w:hAnsi="Palatino Linotype" w:cs="Arial"/>
        </w:rPr>
        <w:t xml:space="preserve">parte </w:t>
      </w:r>
      <w:r w:rsidRPr="00DA3C6B">
        <w:rPr>
          <w:rFonts w:ascii="Palatino Linotype" w:hAnsi="Palatino Linotype" w:cs="Arial"/>
        </w:rPr>
        <w:t xml:space="preserve">recurrente </w:t>
      </w:r>
      <w:r w:rsidR="0051207A">
        <w:rPr>
          <w:rFonts w:ascii="Palatino Linotype" w:hAnsi="Palatino Linotype" w:cs="Arial"/>
        </w:rPr>
        <w:t xml:space="preserve">expresa que </w:t>
      </w:r>
      <w:r w:rsidR="0000564B">
        <w:rPr>
          <w:rFonts w:ascii="Palatino Linotype" w:hAnsi="Palatino Linotype" w:cs="Arial"/>
        </w:rPr>
        <w:t>no le fue entregada la información que requirió, sino por lo contrario el Sujeto Obligado le negó la entrega manifestando que se encuentra generando la misma</w:t>
      </w:r>
      <w:r w:rsidR="009158C1" w:rsidRPr="00842458">
        <w:rPr>
          <w:rFonts w:ascii="Palatino Linotype" w:hAnsi="Palatino Linotype" w:cs="Arial"/>
        </w:rPr>
        <w:t>.</w:t>
      </w:r>
    </w:p>
    <w:p w14:paraId="37B1BA9B" w14:textId="1EEDB164" w:rsidR="00AE2930" w:rsidRDefault="00AE2930" w:rsidP="002969D8">
      <w:pPr>
        <w:spacing w:before="240" w:after="240" w:line="360" w:lineRule="auto"/>
        <w:jc w:val="both"/>
        <w:rPr>
          <w:rFonts w:ascii="Palatino Linotype" w:hAnsi="Palatino Linotype" w:cs="Arial"/>
        </w:rPr>
      </w:pPr>
      <w:r w:rsidRPr="00842458">
        <w:rPr>
          <w:rFonts w:ascii="Palatino Linotype" w:hAnsi="Palatino Linotype" w:cs="Arial"/>
        </w:rPr>
        <w:t>En tal contexto, una vez analizada la materia sobre la que versa el presente asunto, se estima que los motivos de inconformidad devienen</w:t>
      </w:r>
      <w:r w:rsidR="00B127F8" w:rsidRPr="00842458">
        <w:rPr>
          <w:rFonts w:ascii="Palatino Linotype" w:hAnsi="Palatino Linotype" w:cs="Arial"/>
        </w:rPr>
        <w:t xml:space="preserve"> </w:t>
      </w:r>
      <w:r w:rsidRPr="00842458">
        <w:rPr>
          <w:rFonts w:ascii="Palatino Linotype" w:hAnsi="Palatino Linotype" w:cs="Arial"/>
        </w:rPr>
        <w:t>fundados, por las consideraciones de derecho que se exponen enseguida.</w:t>
      </w:r>
    </w:p>
    <w:p w14:paraId="7D7D19AA" w14:textId="6348DD65" w:rsidR="00F7079A" w:rsidRDefault="00F7079A" w:rsidP="00F7079A">
      <w:pPr>
        <w:spacing w:before="240" w:after="240" w:line="360" w:lineRule="auto"/>
        <w:jc w:val="both"/>
        <w:rPr>
          <w:rFonts w:ascii="Palatino Linotype" w:hAnsi="Palatino Linotype"/>
        </w:rPr>
      </w:pPr>
      <w:r>
        <w:rPr>
          <w:rFonts w:ascii="Palatino Linotype" w:hAnsi="Palatino Linotype"/>
        </w:rPr>
        <w:t>En prime</w:t>
      </w:r>
      <w:r w:rsidR="00664A68">
        <w:rPr>
          <w:rFonts w:ascii="Palatino Linotype" w:hAnsi="Palatino Linotype"/>
        </w:rPr>
        <w:t>r</w:t>
      </w:r>
      <w:r>
        <w:rPr>
          <w:rFonts w:ascii="Palatino Linotype" w:hAnsi="Palatino Linotype"/>
        </w:rPr>
        <w:t xml:space="preserve"> lugar, tomando como premisa que el ahora recurrente indicó en sus solicitudes de información que la información a la que desea acceder, forma parte </w:t>
      </w:r>
      <w:r>
        <w:rPr>
          <w:rFonts w:ascii="Palatino Linotype" w:hAnsi="Palatino Linotype"/>
        </w:rPr>
        <w:lastRenderedPageBreak/>
        <w:t>de los informes mensuales que son entregados por el Sujeto Obligado al Órgano Superior de Fiscalización del Estado de México, conviene iniciar con el estudio de la normatividad que determina la entrega de información por parte del Ayuntamiento a dicho Órgano.</w:t>
      </w:r>
    </w:p>
    <w:p w14:paraId="434E8CA3" w14:textId="77777777" w:rsidR="00F7079A" w:rsidRDefault="00F7079A" w:rsidP="00F7079A">
      <w:pPr>
        <w:spacing w:before="240" w:after="240" w:line="360" w:lineRule="auto"/>
        <w:jc w:val="both"/>
        <w:rPr>
          <w:rFonts w:ascii="Palatino Linotype" w:eastAsia="Arial Unicode MS" w:hAnsi="Palatino Linotype" w:cs="Arial"/>
        </w:rPr>
      </w:pPr>
      <w:r>
        <w:rPr>
          <w:rFonts w:ascii="Palatino Linotype" w:hAnsi="Palatino Linotype"/>
        </w:rPr>
        <w:t xml:space="preserve">Así, es importante remitirnos a lo establecido por el artículo </w:t>
      </w:r>
      <w:r w:rsidRPr="00067AE2">
        <w:rPr>
          <w:rFonts w:ascii="Palatino Linotype" w:eastAsia="Arial Unicode MS" w:hAnsi="Palatino Linotype" w:cs="Arial"/>
        </w:rPr>
        <w:t>350 del Código Financiero del Estado de México y Municipios</w:t>
      </w:r>
      <w:r>
        <w:rPr>
          <w:rFonts w:ascii="Palatino Linotype" w:eastAsia="Arial Unicode MS" w:hAnsi="Palatino Linotype" w:cs="Arial"/>
        </w:rPr>
        <w:t>, a saber:</w:t>
      </w:r>
    </w:p>
    <w:p w14:paraId="3776290D" w14:textId="77777777" w:rsidR="00F7079A" w:rsidRPr="00FF128B" w:rsidRDefault="00F7079A" w:rsidP="00F7079A">
      <w:pPr>
        <w:ind w:left="851" w:right="849"/>
        <w:jc w:val="both"/>
        <w:rPr>
          <w:rFonts w:ascii="Palatino Linotype" w:eastAsia="Calibri" w:hAnsi="Palatino Linotype" w:cs="Arial"/>
          <w:i/>
          <w:sz w:val="22"/>
          <w:szCs w:val="22"/>
        </w:rPr>
      </w:pPr>
      <w:r w:rsidRPr="00FF128B">
        <w:rPr>
          <w:rFonts w:ascii="Palatino Linotype" w:eastAsia="Calibri" w:hAnsi="Palatino Linotype" w:cs="Arial"/>
          <w:i/>
          <w:sz w:val="22"/>
          <w:szCs w:val="22"/>
        </w:rPr>
        <w:t xml:space="preserve"> “</w:t>
      </w:r>
      <w:r w:rsidRPr="00FF128B">
        <w:rPr>
          <w:rFonts w:ascii="Palatino Linotype" w:eastAsia="Calibri" w:hAnsi="Palatino Linotype" w:cs="Arial"/>
          <w:b/>
          <w:i/>
          <w:sz w:val="22"/>
          <w:szCs w:val="22"/>
        </w:rPr>
        <w:t>Artículo 350.-</w:t>
      </w:r>
      <w:r w:rsidRPr="00FF128B">
        <w:rPr>
          <w:rFonts w:ascii="Palatino Linotype" w:eastAsia="Calibri" w:hAnsi="Palatino Linotype" w:cs="Arial"/>
          <w:i/>
          <w:sz w:val="22"/>
          <w:szCs w:val="22"/>
        </w:rPr>
        <w:t xml:space="preserve"> </w:t>
      </w:r>
      <w:r w:rsidRPr="00A101D1">
        <w:rPr>
          <w:rFonts w:ascii="Palatino Linotype" w:eastAsia="Calibri" w:hAnsi="Palatino Linotype" w:cs="Arial"/>
          <w:b/>
          <w:i/>
          <w:sz w:val="22"/>
          <w:szCs w:val="22"/>
        </w:rPr>
        <w:t>Mensualmente dentro de los primeros veinte días hábiles</w:t>
      </w:r>
      <w:r w:rsidRPr="00FF128B">
        <w:rPr>
          <w:rFonts w:ascii="Palatino Linotype" w:eastAsia="Calibri" w:hAnsi="Palatino Linotype" w:cs="Arial"/>
          <w:i/>
          <w:sz w:val="22"/>
          <w:szCs w:val="22"/>
        </w:rPr>
        <w:t xml:space="preserve">, la Secretaría y </w:t>
      </w:r>
      <w:r w:rsidRPr="00FF128B">
        <w:rPr>
          <w:rFonts w:ascii="Palatino Linotype" w:eastAsia="Calibri" w:hAnsi="Palatino Linotype" w:cs="Arial"/>
          <w:b/>
          <w:i/>
          <w:sz w:val="22"/>
          <w:szCs w:val="22"/>
        </w:rPr>
        <w:t>las Tesorerías, enviarán para su análisis y evaluación</w:t>
      </w:r>
      <w:r w:rsidRPr="00FF128B">
        <w:rPr>
          <w:rFonts w:ascii="Palatino Linotype" w:eastAsia="Calibri" w:hAnsi="Palatino Linotype" w:cs="Arial"/>
          <w:i/>
          <w:sz w:val="22"/>
          <w:szCs w:val="22"/>
        </w:rPr>
        <w:t xml:space="preserve"> al Órgano Superior de Fiscalización del Estado de México, la siguiente información:</w:t>
      </w:r>
    </w:p>
    <w:p w14:paraId="4B119769" w14:textId="77777777" w:rsidR="00F7079A" w:rsidRPr="00A101D1" w:rsidRDefault="00F7079A" w:rsidP="00F7079A">
      <w:pPr>
        <w:ind w:left="851" w:right="849"/>
        <w:jc w:val="both"/>
        <w:rPr>
          <w:rFonts w:ascii="Palatino Linotype" w:eastAsia="Calibri" w:hAnsi="Palatino Linotype" w:cs="Arial"/>
          <w:i/>
          <w:sz w:val="22"/>
          <w:szCs w:val="22"/>
        </w:rPr>
      </w:pPr>
      <w:r w:rsidRPr="00A101D1">
        <w:rPr>
          <w:rFonts w:ascii="Palatino Linotype" w:eastAsia="Calibri" w:hAnsi="Palatino Linotype" w:cs="Arial"/>
          <w:i/>
          <w:sz w:val="22"/>
          <w:szCs w:val="22"/>
        </w:rPr>
        <w:t>I. Información patrimonial.</w:t>
      </w:r>
    </w:p>
    <w:p w14:paraId="7CEA801E" w14:textId="77777777" w:rsidR="00F7079A" w:rsidRPr="00FF128B" w:rsidRDefault="00F7079A" w:rsidP="00F7079A">
      <w:pPr>
        <w:ind w:left="851" w:right="849"/>
        <w:jc w:val="both"/>
        <w:rPr>
          <w:rFonts w:ascii="Palatino Linotype" w:eastAsia="Calibri" w:hAnsi="Palatino Linotype" w:cs="Arial"/>
          <w:i/>
          <w:sz w:val="22"/>
          <w:szCs w:val="22"/>
        </w:rPr>
      </w:pPr>
      <w:r w:rsidRPr="00FF128B">
        <w:rPr>
          <w:rFonts w:ascii="Palatino Linotype" w:eastAsia="Calibri" w:hAnsi="Palatino Linotype" w:cs="Arial"/>
          <w:i/>
          <w:sz w:val="22"/>
          <w:szCs w:val="22"/>
        </w:rPr>
        <w:t>II. Información presupuestal.</w:t>
      </w:r>
    </w:p>
    <w:p w14:paraId="4B41EB18" w14:textId="77777777" w:rsidR="00F7079A" w:rsidRPr="00A101D1" w:rsidRDefault="00F7079A" w:rsidP="00F7079A">
      <w:pPr>
        <w:ind w:left="851" w:right="849"/>
        <w:jc w:val="both"/>
        <w:rPr>
          <w:rFonts w:ascii="Palatino Linotype" w:eastAsia="Calibri" w:hAnsi="Palatino Linotype" w:cs="Arial"/>
          <w:b/>
          <w:i/>
          <w:sz w:val="22"/>
          <w:szCs w:val="22"/>
        </w:rPr>
      </w:pPr>
      <w:r w:rsidRPr="00A101D1">
        <w:rPr>
          <w:rFonts w:ascii="Palatino Linotype" w:eastAsia="Calibri" w:hAnsi="Palatino Linotype" w:cs="Arial"/>
          <w:b/>
          <w:i/>
          <w:sz w:val="22"/>
          <w:szCs w:val="22"/>
        </w:rPr>
        <w:t>III. Información de la obra pública.</w:t>
      </w:r>
    </w:p>
    <w:p w14:paraId="3AE4DCA6" w14:textId="77777777" w:rsidR="00F7079A" w:rsidRPr="00DF24C8" w:rsidRDefault="00F7079A" w:rsidP="00F7079A">
      <w:pPr>
        <w:ind w:left="851" w:right="849"/>
        <w:jc w:val="both"/>
        <w:rPr>
          <w:rFonts w:ascii="Palatino Linotype" w:eastAsia="Calibri" w:hAnsi="Palatino Linotype" w:cs="Arial"/>
          <w:i/>
          <w:sz w:val="22"/>
          <w:szCs w:val="22"/>
        </w:rPr>
      </w:pPr>
      <w:r w:rsidRPr="00F7079A">
        <w:rPr>
          <w:rFonts w:ascii="Palatino Linotype" w:eastAsia="Calibri" w:hAnsi="Palatino Linotype" w:cs="Arial"/>
          <w:b/>
          <w:i/>
          <w:sz w:val="22"/>
          <w:szCs w:val="22"/>
        </w:rPr>
        <w:t>IV. Información de nómina</w:t>
      </w:r>
      <w:r w:rsidRPr="00DF24C8">
        <w:rPr>
          <w:rFonts w:ascii="Palatino Linotype" w:eastAsia="Calibri" w:hAnsi="Palatino Linotype" w:cs="Arial"/>
          <w:i/>
          <w:sz w:val="22"/>
          <w:szCs w:val="22"/>
        </w:rPr>
        <w:t>.”</w:t>
      </w:r>
    </w:p>
    <w:p w14:paraId="78F1997A" w14:textId="08187E78" w:rsidR="00F7079A" w:rsidRDefault="00F7079A" w:rsidP="00F7079A">
      <w:pPr>
        <w:spacing w:before="240" w:after="240" w:line="360" w:lineRule="auto"/>
        <w:jc w:val="both"/>
        <w:rPr>
          <w:rFonts w:ascii="Palatino Linotype" w:hAnsi="Palatino Linotype"/>
        </w:rPr>
      </w:pPr>
      <w:r>
        <w:rPr>
          <w:rFonts w:ascii="Palatino Linotype" w:hAnsi="Palatino Linotype"/>
        </w:rPr>
        <w:t>De dicho precepto normativo citado se desprende la obligación de los Ayuntamientos y concretamente de las Tesorerías, de enviar de manera mensual dentro de los primeros veinte días hábiles de cada mes, determinada información al Órgano Superior de Fiscalización del Estado de México para que éste la analice y evalúe, tal como lo es información patrimonial, presupuestal, de obra pública  y de nómina.</w:t>
      </w:r>
    </w:p>
    <w:p w14:paraId="6799E0F8" w14:textId="6D3F6F5E" w:rsidR="00F7079A" w:rsidRDefault="00F7079A" w:rsidP="00F7079A">
      <w:pPr>
        <w:spacing w:before="240" w:after="240" w:line="360" w:lineRule="auto"/>
        <w:jc w:val="both"/>
        <w:rPr>
          <w:rFonts w:ascii="Palatino Linotype" w:hAnsi="Palatino Linotype"/>
        </w:rPr>
      </w:pPr>
      <w:r>
        <w:rPr>
          <w:rFonts w:ascii="Palatino Linotype" w:hAnsi="Palatino Linotype"/>
        </w:rPr>
        <w:t xml:space="preserve">Aunado a lo anterior, de acuerdo con la Ley de Fiscalización Superior del Estado de México, debemos entender por </w:t>
      </w:r>
      <w:r>
        <w:rPr>
          <w:rFonts w:ascii="Palatino Linotype" w:hAnsi="Palatino Linotype"/>
          <w:i/>
        </w:rPr>
        <w:t>informe mensual</w:t>
      </w:r>
      <w:r>
        <w:rPr>
          <w:rFonts w:ascii="Palatino Linotype" w:hAnsi="Palatino Linotype"/>
        </w:rPr>
        <w:t>, al documento que mensualmente envían para su análisis al Órgano Superior de Fiscalización de la Legislatura, las Tesorerías Municipales y la Secretaría de Finanzas</w:t>
      </w:r>
      <w:r>
        <w:rPr>
          <w:rStyle w:val="Refdenotaalpie"/>
          <w:rFonts w:ascii="Palatino Linotype" w:hAnsi="Palatino Linotype"/>
        </w:rPr>
        <w:footnoteReference w:id="1"/>
      </w:r>
      <w:r>
        <w:rPr>
          <w:rFonts w:ascii="Palatino Linotype" w:hAnsi="Palatino Linotype"/>
        </w:rPr>
        <w:t>.</w:t>
      </w:r>
    </w:p>
    <w:p w14:paraId="1558697B" w14:textId="77777777" w:rsidR="00F7079A" w:rsidRDefault="00F7079A" w:rsidP="00F7079A">
      <w:pPr>
        <w:spacing w:before="240" w:after="240" w:line="360" w:lineRule="auto"/>
        <w:jc w:val="both"/>
        <w:rPr>
          <w:rFonts w:ascii="Palatino Linotype" w:hAnsi="Palatino Linotype"/>
        </w:rPr>
      </w:pPr>
      <w:r>
        <w:rPr>
          <w:rFonts w:ascii="Palatino Linotype" w:hAnsi="Palatino Linotype"/>
        </w:rPr>
        <w:lastRenderedPageBreak/>
        <w:t xml:space="preserve">En esa tesitura la misma Ley de Fiscalización en consulta establece como una obligación del Órgano Superior de Fiscalización, establecer los lineamientos </w:t>
      </w:r>
      <w:r w:rsidRPr="00517EE5">
        <w:rPr>
          <w:rFonts w:ascii="Palatino Linotype" w:hAnsi="Palatino Linotype"/>
        </w:rPr>
        <w:t>criterios, procedimientos, métodos y sistemas para las acciones de control y evaluación, necesarios para la fiscalización de los i</w:t>
      </w:r>
      <w:r>
        <w:rPr>
          <w:rFonts w:ascii="Palatino Linotype" w:hAnsi="Palatino Linotype"/>
        </w:rPr>
        <w:t xml:space="preserve">nformes mensuales. </w:t>
      </w:r>
    </w:p>
    <w:p w14:paraId="7BD34FEC" w14:textId="7D625783" w:rsidR="00F7079A" w:rsidRDefault="00F7079A" w:rsidP="00F7079A">
      <w:pPr>
        <w:spacing w:before="240" w:after="240" w:line="360" w:lineRule="auto"/>
        <w:jc w:val="both"/>
        <w:rPr>
          <w:rFonts w:ascii="Palatino Linotype" w:hAnsi="Palatino Linotype"/>
        </w:rPr>
      </w:pPr>
      <w:r>
        <w:rPr>
          <w:rFonts w:ascii="Palatino Linotype" w:hAnsi="Palatino Linotype"/>
        </w:rPr>
        <w:t>Por lo que de la consulta a la normatividad emitida por el Órgano Superior de Fiscalización, se advierte la existencia de los Lineamientos para la integración del Informe Mensual 2017</w:t>
      </w:r>
      <w:r>
        <w:rPr>
          <w:rStyle w:val="Refdenotaalpie"/>
          <w:rFonts w:ascii="Palatino Linotype" w:hAnsi="Palatino Linotype"/>
        </w:rPr>
        <w:footnoteReference w:id="2"/>
      </w:r>
      <w:r>
        <w:rPr>
          <w:rFonts w:ascii="Palatino Linotype" w:hAnsi="Palatino Linotype"/>
        </w:rPr>
        <w:t>, en consecuencia del estudio de los mismos se logró advertir que dentro de la información que las entidades fiscalizables integran a sus informes mensuales, ciertamente se localizan un Disco 3 y un Disco 4; así como documentación relativa a pólizas de pago y documentos que las acrediten</w:t>
      </w:r>
      <w:r w:rsidR="00664A68">
        <w:rPr>
          <w:rFonts w:ascii="Palatino Linotype" w:hAnsi="Palatino Linotype"/>
        </w:rPr>
        <w:t>,</w:t>
      </w:r>
      <w:r>
        <w:rPr>
          <w:rFonts w:ascii="Palatino Linotype" w:hAnsi="Palatino Linotype"/>
        </w:rPr>
        <w:t xml:space="preserve"> como bien podrían ser las transferencias bancarias y las facturas de pago, tratándose de gastos erogados en materia de obra pública, tal y como se desprende de las siguientes imágenes:</w:t>
      </w:r>
    </w:p>
    <w:p w14:paraId="620FE852" w14:textId="05FE117B" w:rsidR="00F7079A" w:rsidRDefault="00F7079A" w:rsidP="00F7079A">
      <w:pPr>
        <w:spacing w:before="240" w:after="240" w:line="360" w:lineRule="auto"/>
        <w:jc w:val="both"/>
        <w:rPr>
          <w:rFonts w:ascii="Palatino Linotype" w:hAnsi="Palatino Linotype"/>
        </w:rPr>
      </w:pPr>
      <w:r>
        <w:rPr>
          <w:rFonts w:ascii="Palatino Linotype" w:hAnsi="Palatino Linoty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E2D7A8" w14:textId="5487352D" w:rsidR="00F7079A" w:rsidRDefault="00F7079A" w:rsidP="00E5797A">
      <w:pPr>
        <w:spacing w:before="240"/>
        <w:jc w:val="center"/>
        <w:rPr>
          <w:rFonts w:ascii="Palatino Linotype" w:hAnsi="Palatino Linotype"/>
        </w:rPr>
      </w:pPr>
      <w:r>
        <w:rPr>
          <w:rFonts w:ascii="Palatino Linotype" w:hAnsi="Palatino Linotype"/>
          <w:noProof/>
          <w:lang w:val="es-MX" w:eastAsia="es-MX"/>
        </w:rPr>
        <w:lastRenderedPageBreak/>
        <w:drawing>
          <wp:inline distT="0" distB="0" distL="0" distR="0" wp14:anchorId="5F10DAC5" wp14:editId="62D188BE">
            <wp:extent cx="4526197" cy="901080"/>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 r="231" b="81559"/>
                    <a:stretch/>
                  </pic:blipFill>
                  <pic:spPr bwMode="auto">
                    <a:xfrm>
                      <a:off x="0" y="0"/>
                      <a:ext cx="4578833" cy="911559"/>
                    </a:xfrm>
                    <a:prstGeom prst="rect">
                      <a:avLst/>
                    </a:prstGeom>
                    <a:noFill/>
                    <a:ln>
                      <a:noFill/>
                    </a:ln>
                    <a:extLst>
                      <a:ext uri="{53640926-AAD7-44D8-BBD7-CCE9431645EC}">
                        <a14:shadowObscured xmlns:a14="http://schemas.microsoft.com/office/drawing/2010/main"/>
                      </a:ext>
                    </a:extLst>
                  </pic:spPr>
                </pic:pic>
              </a:graphicData>
            </a:graphic>
          </wp:inline>
        </w:drawing>
      </w:r>
    </w:p>
    <w:p w14:paraId="1989D3E9" w14:textId="76CEA7FC" w:rsidR="00E5797A" w:rsidRDefault="00E5797A" w:rsidP="00E5797A">
      <w:pPr>
        <w:jc w:val="center"/>
        <w:rPr>
          <w:rFonts w:ascii="Palatino Linotype" w:hAnsi="Palatino Linotype"/>
        </w:rPr>
      </w:pPr>
      <w:r>
        <w:rPr>
          <w:rFonts w:ascii="Palatino Linotype" w:hAnsi="Palatino Linotype"/>
        </w:rPr>
        <w:t>(…)</w:t>
      </w:r>
    </w:p>
    <w:p w14:paraId="3422A4FC" w14:textId="3020216D" w:rsidR="00E5797A" w:rsidRDefault="00E5797A" w:rsidP="00E5797A">
      <w:pPr>
        <w:spacing w:after="240"/>
        <w:jc w:val="center"/>
        <w:rPr>
          <w:rFonts w:ascii="Palatino Linotype" w:hAnsi="Palatino Linotype"/>
        </w:rPr>
      </w:pPr>
      <w:r>
        <w:rPr>
          <w:rFonts w:ascii="Palatino Linotype" w:hAnsi="Palatino Linotype"/>
          <w:noProof/>
          <w:lang w:val="es-MX" w:eastAsia="es-MX"/>
        </w:rPr>
        <w:drawing>
          <wp:inline distT="0" distB="0" distL="0" distR="0" wp14:anchorId="5BAF302F" wp14:editId="7C85442B">
            <wp:extent cx="4553484" cy="217388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53" t="55607" r="-1"/>
                    <a:stretch/>
                  </pic:blipFill>
                  <pic:spPr bwMode="auto">
                    <a:xfrm>
                      <a:off x="0" y="0"/>
                      <a:ext cx="4585789" cy="2189309"/>
                    </a:xfrm>
                    <a:prstGeom prst="rect">
                      <a:avLst/>
                    </a:prstGeom>
                    <a:noFill/>
                    <a:ln>
                      <a:noFill/>
                    </a:ln>
                    <a:extLst>
                      <a:ext uri="{53640926-AAD7-44D8-BBD7-CCE9431645EC}">
                        <a14:shadowObscured xmlns:a14="http://schemas.microsoft.com/office/drawing/2010/main"/>
                      </a:ext>
                    </a:extLst>
                  </pic:spPr>
                </pic:pic>
              </a:graphicData>
            </a:graphic>
          </wp:inline>
        </w:drawing>
      </w:r>
    </w:p>
    <w:p w14:paraId="616BBF8E" w14:textId="6360702C" w:rsidR="00E5797A" w:rsidRDefault="00E5797A" w:rsidP="00E5797A">
      <w:pPr>
        <w:spacing w:before="240" w:after="240" w:line="360" w:lineRule="auto"/>
        <w:jc w:val="center"/>
        <w:rPr>
          <w:rFonts w:ascii="Palatino Linotype" w:hAnsi="Palatino Linotype"/>
        </w:rPr>
      </w:pPr>
      <w:r>
        <w:rPr>
          <w:rFonts w:ascii="Palatino Linotype" w:hAnsi="Palatino Linotype"/>
          <w:noProof/>
          <w:lang w:val="es-MX" w:eastAsia="es-MX"/>
        </w:rPr>
        <w:drawing>
          <wp:inline distT="0" distB="0" distL="0" distR="0" wp14:anchorId="69DFF4E9" wp14:editId="0612D174">
            <wp:extent cx="5354727" cy="393148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9780" cy="3949883"/>
                    </a:xfrm>
                    <a:prstGeom prst="rect">
                      <a:avLst/>
                    </a:prstGeom>
                    <a:noFill/>
                    <a:ln>
                      <a:noFill/>
                    </a:ln>
                  </pic:spPr>
                </pic:pic>
              </a:graphicData>
            </a:graphic>
          </wp:inline>
        </w:drawing>
      </w:r>
    </w:p>
    <w:p w14:paraId="4408FC0B" w14:textId="4A6DA402" w:rsidR="00E5797A" w:rsidRDefault="00E5797A" w:rsidP="00E5797A">
      <w:pPr>
        <w:spacing w:before="240" w:after="240" w:line="360" w:lineRule="auto"/>
        <w:jc w:val="center"/>
        <w:rPr>
          <w:rFonts w:ascii="Palatino Linotype" w:hAnsi="Palatino Linotype"/>
        </w:rPr>
      </w:pPr>
      <w:r>
        <w:rPr>
          <w:rFonts w:ascii="Palatino Linotype" w:hAnsi="Palatino Linotype"/>
          <w:noProof/>
          <w:lang w:val="es-MX" w:eastAsia="es-MX"/>
        </w:rPr>
        <w:lastRenderedPageBreak/>
        <w:drawing>
          <wp:inline distT="0" distB="0" distL="0" distR="0" wp14:anchorId="4F829B55" wp14:editId="4BC89FB3">
            <wp:extent cx="5398440" cy="197143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3687" cy="1977001"/>
                    </a:xfrm>
                    <a:prstGeom prst="rect">
                      <a:avLst/>
                    </a:prstGeom>
                    <a:noFill/>
                    <a:ln>
                      <a:noFill/>
                    </a:ln>
                  </pic:spPr>
                </pic:pic>
              </a:graphicData>
            </a:graphic>
          </wp:inline>
        </w:drawing>
      </w:r>
    </w:p>
    <w:p w14:paraId="7C499A89" w14:textId="40C4250A" w:rsidR="001949E9" w:rsidRDefault="001949E9" w:rsidP="001949E9">
      <w:pPr>
        <w:spacing w:before="240" w:after="240" w:line="360" w:lineRule="auto"/>
        <w:ind w:right="49"/>
        <w:jc w:val="both"/>
        <w:rPr>
          <w:rFonts w:ascii="Palatino Linotype" w:hAnsi="Palatino Linotype" w:cs="Arial"/>
        </w:rPr>
      </w:pPr>
      <w:r>
        <w:rPr>
          <w:rFonts w:ascii="Palatino Linotype" w:hAnsi="Palatino Linotype" w:cs="Arial"/>
        </w:rPr>
        <w:t>De tal manera, que con lo anterior se evidencia que efectivamente dentro de la información que es remitida por los organismos fiscalizables al Órgano Superior de Fiscalización del Estado de México se localiza aquella que deba compilarse en un Disco 3 y otra en un Disco 4; además como se ve resaltado en las imágenes insertas, en el contenido del Disco 5, se debe integrar la información relativa a las pólizas de egresos con su respectivo soporte documental como pudieran ser documentos que comprueben una transferencia bancaria y/ facturas, por lo que la información de dicha naturaleza, generada en virtud de la remodelación del “Auditorio Municipal del centenario Ricardo y Enrique Flores Magón” en todo caso deberá desprenderse de la información digitalizada que se integra en el Disco 5 del informe mensual del periodo al que haya correspondido.</w:t>
      </w:r>
    </w:p>
    <w:p w14:paraId="0974A4B3" w14:textId="44585D6E" w:rsidR="00FD5AD3" w:rsidRDefault="00990A59" w:rsidP="00FD5AD3">
      <w:pPr>
        <w:spacing w:before="240" w:line="360" w:lineRule="auto"/>
        <w:ind w:right="49"/>
        <w:jc w:val="both"/>
        <w:rPr>
          <w:rFonts w:ascii="Palatino Linotype" w:hAnsi="Palatino Linotype" w:cs="Arial"/>
        </w:rPr>
      </w:pPr>
      <w:r>
        <w:rPr>
          <w:rFonts w:ascii="Palatino Linotype" w:hAnsi="Palatino Linotype" w:cs="Arial"/>
        </w:rPr>
        <w:t>En abundamiento al tema de la solicitud 00054/MELOCAM/IP/2018;</w:t>
      </w:r>
      <w:r>
        <w:rPr>
          <w:rFonts w:ascii="Palatino Linotype" w:hAnsi="Palatino Linotype"/>
        </w:rPr>
        <w:t xml:space="preserve"> </w:t>
      </w:r>
      <w:r w:rsidRPr="00BA7203">
        <w:rPr>
          <w:rFonts w:ascii="Palatino Linotype" w:hAnsi="Palatino Linotype" w:cs="Arial"/>
        </w:rPr>
        <w:t>resulta alusivo referir que</w:t>
      </w:r>
      <w:r w:rsidR="00FD5AD3">
        <w:rPr>
          <w:rFonts w:ascii="Palatino Linotype" w:hAnsi="Palatino Linotype" w:cs="Arial"/>
        </w:rPr>
        <w:t xml:space="preserve"> de los artículos 344, 345 y 349 del Código Financiero del Estado de México y Municipios</w:t>
      </w:r>
      <w:r w:rsidR="00FD5AD3">
        <w:rPr>
          <w:rStyle w:val="Refdenotaalpie"/>
          <w:rFonts w:ascii="Palatino Linotype" w:hAnsi="Palatino Linotype" w:cs="Arial"/>
        </w:rPr>
        <w:footnoteReference w:id="3"/>
      </w:r>
      <w:r w:rsidR="00FD5AD3">
        <w:rPr>
          <w:rFonts w:ascii="Palatino Linotype" w:hAnsi="Palatino Linotype" w:cs="Arial"/>
        </w:rPr>
        <w:t xml:space="preserve"> se desprende que todas las dependencias y entidades </w:t>
      </w:r>
      <w:r w:rsidR="00FD5AD3">
        <w:rPr>
          <w:rFonts w:ascii="Palatino Linotype" w:hAnsi="Palatino Linotype" w:cs="Arial"/>
        </w:rPr>
        <w:lastRenderedPageBreak/>
        <w:t>públicas y unidades administrativas deben contar con el registro de sus operaciones financieras, los cuales deberán estar sustentados por los documentos comprobatorios originales, que permanecerán en su custodia y conservación, manteniéndolos disponibles para el Órgano Superior de Fiscalización del Estado de México.</w:t>
      </w:r>
    </w:p>
    <w:p w14:paraId="5ADF10C3" w14:textId="77777777" w:rsidR="00FD5AD3" w:rsidRPr="003155BE" w:rsidRDefault="00FD5AD3" w:rsidP="00FD5AD3">
      <w:pPr>
        <w:spacing w:before="240" w:after="240" w:line="360" w:lineRule="auto"/>
        <w:jc w:val="both"/>
        <w:rPr>
          <w:rFonts w:ascii="Palatino Linotype" w:hAnsi="Palatino Linotype" w:cs="Arial"/>
          <w:lang w:eastAsia="es-MX"/>
        </w:rPr>
      </w:pPr>
      <w:r w:rsidRPr="003155BE">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3155BE">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w:t>
      </w:r>
      <w:r w:rsidRPr="003155BE">
        <w:rPr>
          <w:rFonts w:ascii="Palatino Linotype" w:hAnsi="Palatino Linotype" w:cs="Arial"/>
          <w:lang w:eastAsia="es-MX"/>
        </w:rPr>
        <w:lastRenderedPageBreak/>
        <w:t xml:space="preserve">las siguientes definiciones de las palabras registro contable y registro presupuestario: </w:t>
      </w:r>
    </w:p>
    <w:p w14:paraId="3A92E959" w14:textId="77777777" w:rsidR="00FD5AD3" w:rsidRPr="003E19EE" w:rsidRDefault="00FD5AD3" w:rsidP="00FD5AD3">
      <w:pPr>
        <w:spacing w:before="120"/>
        <w:ind w:left="851" w:right="900"/>
        <w:jc w:val="both"/>
        <w:rPr>
          <w:rFonts w:ascii="Palatino Linotype" w:hAnsi="Palatino Linotype" w:cs="Arial"/>
          <w:b/>
          <w:i/>
          <w:sz w:val="22"/>
          <w:szCs w:val="22"/>
          <w:lang w:eastAsia="es-MX"/>
        </w:rPr>
      </w:pPr>
      <w:r w:rsidRPr="003E19EE">
        <w:rPr>
          <w:rFonts w:ascii="Palatino Linotype" w:hAnsi="Palatino Linotype" w:cs="Arial"/>
          <w:b/>
          <w:i/>
          <w:sz w:val="22"/>
          <w:szCs w:val="22"/>
          <w:lang w:eastAsia="es-MX"/>
        </w:rPr>
        <w:t xml:space="preserve">“REGISTRO CONTABLE </w:t>
      </w:r>
    </w:p>
    <w:p w14:paraId="310ED360" w14:textId="77777777" w:rsidR="00FD5AD3" w:rsidRPr="003E19EE" w:rsidRDefault="00FD5AD3" w:rsidP="00FD5AD3">
      <w:pPr>
        <w:spacing w:before="120" w:after="240"/>
        <w:ind w:left="851" w:right="900"/>
        <w:jc w:val="both"/>
        <w:rPr>
          <w:rFonts w:ascii="Palatino Linotype" w:hAnsi="Palatino Linotype" w:cs="Arial"/>
          <w:i/>
          <w:sz w:val="22"/>
          <w:szCs w:val="22"/>
        </w:rPr>
      </w:pPr>
      <w:r w:rsidRPr="003E19EE">
        <w:rPr>
          <w:rFonts w:ascii="Palatino Linotype" w:hAnsi="Palatino Linotype" w:cs="Arial"/>
          <w:i/>
          <w:sz w:val="22"/>
          <w:szCs w:val="22"/>
          <w:lang w:eastAsia="es-MX"/>
        </w:rPr>
        <w:t xml:space="preserve">Asiento que se realiza en los libros de contabilidad de las actividades relacionadas con el ingreso y egresos de un ente económico.” </w:t>
      </w:r>
      <w:r w:rsidRPr="003E19EE">
        <w:rPr>
          <w:rFonts w:ascii="Palatino Linotype" w:hAnsi="Palatino Linotype" w:cs="Arial"/>
          <w:i/>
          <w:sz w:val="22"/>
          <w:szCs w:val="22"/>
        </w:rPr>
        <w:t>(Sic)</w:t>
      </w:r>
    </w:p>
    <w:p w14:paraId="5F157B0B" w14:textId="77777777" w:rsidR="00FD5AD3" w:rsidRPr="003E19EE" w:rsidRDefault="00FD5AD3" w:rsidP="00FD5AD3">
      <w:pPr>
        <w:spacing w:before="120"/>
        <w:ind w:left="851" w:right="900"/>
        <w:jc w:val="both"/>
        <w:rPr>
          <w:rFonts w:ascii="Palatino Linotype" w:hAnsi="Palatino Linotype" w:cs="Arial"/>
          <w:b/>
          <w:i/>
          <w:sz w:val="22"/>
          <w:szCs w:val="22"/>
          <w:lang w:eastAsia="es-MX"/>
        </w:rPr>
      </w:pPr>
      <w:r w:rsidRPr="003E19EE">
        <w:rPr>
          <w:rFonts w:ascii="Palatino Linotype" w:hAnsi="Palatino Linotype" w:cs="Arial"/>
          <w:b/>
          <w:i/>
          <w:sz w:val="22"/>
          <w:szCs w:val="22"/>
          <w:lang w:eastAsia="es-MX"/>
        </w:rPr>
        <w:t>“REGISTRO PRESUPUESTARIO</w:t>
      </w:r>
    </w:p>
    <w:p w14:paraId="561E4098" w14:textId="77777777" w:rsidR="00FD5AD3" w:rsidRDefault="00FD5AD3" w:rsidP="00FD5AD3">
      <w:pPr>
        <w:spacing w:before="240"/>
        <w:ind w:left="851" w:right="900"/>
        <w:jc w:val="both"/>
        <w:rPr>
          <w:rFonts w:ascii="Palatino Linotype" w:hAnsi="Palatino Linotype" w:cs="Arial"/>
        </w:rPr>
      </w:pPr>
      <w:r w:rsidRPr="003E19EE">
        <w:rPr>
          <w:rFonts w:ascii="Palatino Linotype" w:hAnsi="Palatino Linotype" w:cs="Arial"/>
          <w:i/>
          <w:sz w:val="22"/>
          <w:szCs w:val="22"/>
          <w:lang w:eastAsia="es-MX"/>
        </w:rPr>
        <w:t xml:space="preserve">Asiento contable de las erogaciones realizadas por las dependencias y entidades con relación a la asignación, modificación y ejercicio de los recursos presupuestarios que se les hayan autorizado.” </w:t>
      </w:r>
      <w:r w:rsidRPr="003E19EE">
        <w:rPr>
          <w:rFonts w:ascii="Palatino Linotype" w:hAnsi="Palatino Linotype" w:cs="Arial"/>
          <w:i/>
          <w:sz w:val="22"/>
          <w:szCs w:val="22"/>
        </w:rPr>
        <w:t>(Sic)</w:t>
      </w:r>
    </w:p>
    <w:p w14:paraId="61A0DAC3" w14:textId="7079D52B" w:rsidR="00FD5AD3" w:rsidRDefault="00FD5AD3" w:rsidP="00FD5AD3">
      <w:pPr>
        <w:spacing w:before="240" w:line="360" w:lineRule="auto"/>
        <w:ind w:right="49"/>
        <w:jc w:val="both"/>
        <w:rPr>
          <w:rFonts w:ascii="Palatino Linotype" w:hAnsi="Palatino Linotype" w:cs="Arial"/>
        </w:rPr>
      </w:pPr>
      <w:r>
        <w:rPr>
          <w:rFonts w:ascii="Palatino Linotype" w:hAnsi="Palatino Linotype" w:cs="Arial"/>
        </w:rPr>
        <w:t>Así también, se advierte que esa documentación comprobatoria será conservada por el año en curso y respecto de los años anteriores cuando los mismos hayan sido objeto de fiscalización o revisión y la remitirán en un plazo máximo de seis meses al Archivo Contable Gubernamental; resaltando que los comprobantes fiscales digitales deberán estar agregados en forma electrónica a cada póliza de registro contable, al respecto es de destacar que con ello se deduce que en general los documentos comprobatorios corresponden a todos aquellos comprobantes fiscales.</w:t>
      </w:r>
    </w:p>
    <w:p w14:paraId="72F558FB" w14:textId="69F38C2E" w:rsidR="00FD5AD3" w:rsidRPr="003155BE" w:rsidRDefault="00354C54" w:rsidP="00FD5AD3">
      <w:pPr>
        <w:autoSpaceDE w:val="0"/>
        <w:autoSpaceDN w:val="0"/>
        <w:adjustRightInd w:val="0"/>
        <w:spacing w:before="240" w:after="240" w:line="360" w:lineRule="auto"/>
        <w:jc w:val="both"/>
        <w:rPr>
          <w:rFonts w:ascii="Palatino Linotype" w:hAnsi="Palatino Linotype" w:cs="Arial"/>
          <w:lang w:eastAsia="es-MX"/>
        </w:rPr>
      </w:pPr>
      <w:r>
        <w:rPr>
          <w:rFonts w:ascii="Palatino Linotype" w:hAnsi="Palatino Linotype" w:cs="Arial"/>
          <w:lang w:eastAsia="es-MX"/>
        </w:rPr>
        <w:t>En esa tesitura, r</w:t>
      </w:r>
      <w:r w:rsidR="00FD5AD3">
        <w:rPr>
          <w:rFonts w:ascii="Palatino Linotype" w:hAnsi="Palatino Linotype" w:cs="Arial"/>
          <w:lang w:eastAsia="es-MX"/>
        </w:rPr>
        <w:t>especto de la póliza de registro</w:t>
      </w:r>
      <w:r w:rsidR="00FD5AD3" w:rsidRPr="003155BE">
        <w:rPr>
          <w:rFonts w:ascii="Palatino Linotype" w:hAnsi="Palatino Linotype" w:cs="Arial"/>
          <w:lang w:eastAsia="es-MX"/>
        </w:rPr>
        <w:t xml:space="preserve">, es preciso referir una definición de </w:t>
      </w:r>
      <w:r w:rsidR="00FD5AD3" w:rsidRPr="003155BE">
        <w:rPr>
          <w:rFonts w:ascii="Palatino Linotype" w:hAnsi="Palatino Linotype" w:cs="Arial"/>
          <w:i/>
          <w:lang w:eastAsia="es-MX"/>
        </w:rPr>
        <w:t>póliza contable</w:t>
      </w:r>
      <w:r w:rsidR="00FD5AD3" w:rsidRPr="003155BE">
        <w:rPr>
          <w:rFonts w:ascii="Palatino Linotype" w:hAnsi="Palatino Linotype" w:cs="Arial"/>
          <w:lang w:eastAsia="es-MX"/>
        </w:rPr>
        <w:t xml:space="preserve">, </w:t>
      </w:r>
      <w:r w:rsidR="00FD5AD3">
        <w:rPr>
          <w:rFonts w:ascii="Palatino Linotype" w:hAnsi="Palatino Linotype" w:cs="Arial"/>
          <w:lang w:eastAsia="es-MX"/>
        </w:rPr>
        <w:t>de acuerdo a los</w:t>
      </w:r>
      <w:r w:rsidR="00FD5AD3" w:rsidRPr="003155BE">
        <w:rPr>
          <w:rFonts w:ascii="Palatino Linotype" w:hAnsi="Palatino Linotype" w:cs="Arial"/>
          <w:lang w:eastAsia="es-MX"/>
        </w:rPr>
        <w:t xml:space="preserve"> Glosarios</w:t>
      </w:r>
      <w:r w:rsidR="00FD5AD3">
        <w:rPr>
          <w:rFonts w:ascii="Palatino Linotype" w:hAnsi="Palatino Linotype" w:cs="Arial"/>
          <w:lang w:eastAsia="es-MX"/>
        </w:rPr>
        <w:t xml:space="preserve"> antes referidos, a saber</w:t>
      </w:r>
      <w:r w:rsidR="00FD5AD3" w:rsidRPr="003155BE">
        <w:rPr>
          <w:rFonts w:ascii="Palatino Linotype" w:hAnsi="Palatino Linotype" w:cs="Arial"/>
          <w:lang w:eastAsia="es-MX"/>
        </w:rPr>
        <w:t xml:space="preserve">: </w:t>
      </w:r>
    </w:p>
    <w:p w14:paraId="496395D6" w14:textId="77777777" w:rsidR="00FD5AD3" w:rsidRPr="003155BE" w:rsidRDefault="00FD5AD3" w:rsidP="00FD5AD3">
      <w:pPr>
        <w:spacing w:before="120" w:after="120"/>
        <w:ind w:left="567" w:right="618"/>
        <w:jc w:val="both"/>
        <w:rPr>
          <w:rFonts w:ascii="Palatino Linotype" w:hAnsi="Palatino Linotype" w:cs="Arial"/>
          <w:b/>
          <w:i/>
          <w:sz w:val="22"/>
          <w:szCs w:val="22"/>
          <w:lang w:eastAsia="es-MX"/>
        </w:rPr>
      </w:pPr>
      <w:r w:rsidRPr="003155BE">
        <w:rPr>
          <w:rFonts w:ascii="Palatino Linotype" w:hAnsi="Palatino Linotype" w:cs="Arial"/>
          <w:i/>
          <w:sz w:val="22"/>
          <w:szCs w:val="22"/>
          <w:lang w:eastAsia="es-MX"/>
        </w:rPr>
        <w:t>“</w:t>
      </w:r>
      <w:r w:rsidRPr="003155BE">
        <w:rPr>
          <w:rFonts w:ascii="Palatino Linotype" w:hAnsi="Palatino Linotype" w:cs="Arial"/>
          <w:b/>
          <w:i/>
          <w:sz w:val="22"/>
          <w:szCs w:val="22"/>
          <w:lang w:eastAsia="es-MX"/>
        </w:rPr>
        <w:t>PÓLIZA CONTABLE</w:t>
      </w:r>
    </w:p>
    <w:p w14:paraId="0C7807F0" w14:textId="77777777" w:rsidR="00FD5AD3" w:rsidRPr="003155BE" w:rsidRDefault="00FD5AD3" w:rsidP="00FD5AD3">
      <w:pPr>
        <w:spacing w:before="120" w:after="120"/>
        <w:ind w:left="567" w:right="618"/>
        <w:jc w:val="both"/>
        <w:rPr>
          <w:rFonts w:ascii="Palatino Linotype" w:hAnsi="Palatino Linotype" w:cs="Arial"/>
          <w:i/>
          <w:sz w:val="22"/>
          <w:szCs w:val="22"/>
          <w:lang w:eastAsia="es-MX"/>
        </w:rPr>
      </w:pPr>
      <w:r w:rsidRPr="003155BE">
        <w:rPr>
          <w:rFonts w:ascii="Palatino Linotype" w:hAnsi="Palatino Linotype" w:cs="Arial"/>
          <w:i/>
          <w:sz w:val="22"/>
          <w:szCs w:val="22"/>
          <w:lang w:eastAsia="es-MX"/>
        </w:rPr>
        <w:t>Documento en el cual se asientan en forma individual todas y cada una de las operaciones desarrolladas por una institución, así como la información necesaria para la identificación de dichas operaciones.” (sic)</w:t>
      </w:r>
    </w:p>
    <w:p w14:paraId="73D549D1" w14:textId="77777777" w:rsidR="00FD5AD3" w:rsidRDefault="00FD5AD3" w:rsidP="00FD5AD3">
      <w:pPr>
        <w:spacing w:before="240" w:after="240" w:line="360" w:lineRule="auto"/>
        <w:jc w:val="both"/>
        <w:rPr>
          <w:rFonts w:ascii="Palatino Linotype" w:hAnsi="Palatino Linotype" w:cs="Arial"/>
          <w:lang w:eastAsia="es-MX"/>
        </w:rPr>
      </w:pPr>
      <w:r>
        <w:rPr>
          <w:rFonts w:ascii="Palatino Linotype" w:hAnsi="Palatino Linotype" w:cs="Arial"/>
          <w:lang w:eastAsia="es-MX"/>
        </w:rPr>
        <w:t>Luego entonces podemos deducir</w:t>
      </w:r>
      <w:r w:rsidRPr="003155BE">
        <w:rPr>
          <w:rFonts w:ascii="Palatino Linotype" w:hAnsi="Palatino Linotype" w:cs="Arial"/>
          <w:lang w:eastAsia="es-MX"/>
        </w:rPr>
        <w:t xml:space="preserve"> que la </w:t>
      </w:r>
      <w:r w:rsidRPr="003155BE">
        <w:rPr>
          <w:rFonts w:ascii="Palatino Linotype" w:hAnsi="Palatino Linotype" w:cs="Arial"/>
          <w:i/>
          <w:lang w:eastAsia="es-MX"/>
        </w:rPr>
        <w:t>póliza contable</w:t>
      </w:r>
      <w:r w:rsidRPr="003155BE">
        <w:rPr>
          <w:rFonts w:ascii="Palatino Linotype" w:hAnsi="Palatino Linotype" w:cs="Arial"/>
          <w:lang w:eastAsia="es-MX"/>
        </w:rPr>
        <w:t xml:space="preserve"> constituye un registro contable y presu</w:t>
      </w:r>
      <w:r>
        <w:rPr>
          <w:rFonts w:ascii="Palatino Linotype" w:hAnsi="Palatino Linotype" w:cs="Arial"/>
          <w:lang w:eastAsia="es-MX"/>
        </w:rPr>
        <w:t>puestal con el que cuentan los m</w:t>
      </w:r>
      <w:r w:rsidRPr="003155BE">
        <w:rPr>
          <w:rFonts w:ascii="Palatino Linotype" w:hAnsi="Palatino Linotype" w:cs="Arial"/>
          <w:lang w:eastAsia="es-MX"/>
        </w:rPr>
        <w:t xml:space="preserve">unicipios para el registro de sus </w:t>
      </w:r>
      <w:r w:rsidRPr="003155BE">
        <w:rPr>
          <w:rFonts w:ascii="Palatino Linotype" w:hAnsi="Palatino Linotype" w:cs="Arial"/>
          <w:lang w:eastAsia="es-MX"/>
        </w:rPr>
        <w:lastRenderedPageBreak/>
        <w:t xml:space="preserve">operaciones relacionadas con sus ingresos y egresos </w:t>
      </w:r>
      <w:r>
        <w:rPr>
          <w:rFonts w:ascii="Palatino Linotype" w:hAnsi="Palatino Linotype" w:cs="Arial"/>
          <w:lang w:eastAsia="es-MX"/>
        </w:rPr>
        <w:t>anexando</w:t>
      </w:r>
      <w:r w:rsidRPr="003155BE">
        <w:rPr>
          <w:rFonts w:ascii="Palatino Linotype" w:hAnsi="Palatino Linotype" w:cs="Arial"/>
          <w:lang w:eastAsia="es-MX"/>
        </w:rPr>
        <w:t xml:space="preserve"> los documentos o comprobantes que justifiquen las anotaciones y cantidades en ellas registradas, lo que permite la identificación </w:t>
      </w:r>
      <w:r>
        <w:rPr>
          <w:rFonts w:ascii="Palatino Linotype" w:hAnsi="Palatino Linotype" w:cs="Arial"/>
          <w:lang w:eastAsia="es-MX"/>
        </w:rPr>
        <w:t>de dichas operaciones; existiendo</w:t>
      </w:r>
      <w:r w:rsidRPr="003155BE">
        <w:rPr>
          <w:rFonts w:ascii="Palatino Linotype" w:hAnsi="Palatino Linotype" w:cs="Arial"/>
          <w:lang w:eastAsia="es-MX"/>
        </w:rPr>
        <w:t xml:space="preserve"> diversos tipos de pólizas contables de acuerdo a las operaciones realizadas, dentro de las cuales, </w:t>
      </w:r>
      <w:r>
        <w:rPr>
          <w:rFonts w:ascii="Palatino Linotype" w:hAnsi="Palatino Linotype" w:cs="Arial"/>
          <w:lang w:eastAsia="es-MX"/>
        </w:rPr>
        <w:t>se ubican las</w:t>
      </w:r>
      <w:r w:rsidRPr="003155BE">
        <w:rPr>
          <w:rFonts w:ascii="Palatino Linotype" w:hAnsi="Palatino Linotype" w:cs="Arial"/>
          <w:lang w:eastAsia="es-MX"/>
        </w:rPr>
        <w:t xml:space="preserve"> </w:t>
      </w:r>
      <w:r w:rsidRPr="003155BE">
        <w:rPr>
          <w:rFonts w:ascii="Palatino Linotype" w:hAnsi="Palatino Linotype" w:cs="Arial"/>
          <w:i/>
          <w:lang w:eastAsia="es-MX"/>
        </w:rPr>
        <w:t>pólizas de egresos</w:t>
      </w:r>
      <w:r w:rsidRPr="003155BE">
        <w:rPr>
          <w:rFonts w:ascii="Palatino Linotype" w:hAnsi="Palatino Linotype" w:cs="Arial"/>
          <w:lang w:eastAsia="es-MX"/>
        </w:rPr>
        <w:t xml:space="preserve">, en las cuales se anotan diariamente las operaciones que representan egresos, es decir, salidas de dinero </w:t>
      </w:r>
      <w:r>
        <w:rPr>
          <w:rFonts w:ascii="Palatino Linotype" w:hAnsi="Palatino Linotype" w:cs="Arial"/>
          <w:lang w:eastAsia="es-MX"/>
        </w:rPr>
        <w:t>de la entidad pública</w:t>
      </w:r>
      <w:r w:rsidRPr="003155BE">
        <w:rPr>
          <w:rFonts w:ascii="Palatino Linotype" w:hAnsi="Palatino Linotype" w:cs="Arial"/>
          <w:lang w:eastAsia="es-MX"/>
        </w:rPr>
        <w:t xml:space="preserve">, la cual además, </w:t>
      </w:r>
      <w:r>
        <w:rPr>
          <w:rFonts w:ascii="Palatino Linotype" w:hAnsi="Palatino Linotype" w:cs="Arial"/>
          <w:lang w:eastAsia="es-MX"/>
        </w:rPr>
        <w:t xml:space="preserve">como se ha dicho </w:t>
      </w:r>
      <w:r w:rsidRPr="003155BE">
        <w:rPr>
          <w:rFonts w:ascii="Palatino Linotype" w:hAnsi="Palatino Linotype" w:cs="Arial"/>
          <w:lang w:eastAsia="es-MX"/>
        </w:rPr>
        <w:t>debe encontrarse acompañada de las documentales que sirven de soporte de dicho movimiento.</w:t>
      </w:r>
    </w:p>
    <w:p w14:paraId="47EEA197" w14:textId="7C5390DE" w:rsidR="00990A59" w:rsidRDefault="00354C54" w:rsidP="00990A59">
      <w:pPr>
        <w:spacing w:before="240" w:line="360" w:lineRule="auto"/>
        <w:ind w:right="49"/>
        <w:jc w:val="both"/>
        <w:rPr>
          <w:rFonts w:ascii="Palatino Linotype" w:hAnsi="Palatino Linotype" w:cs="Arial"/>
        </w:rPr>
      </w:pPr>
      <w:r>
        <w:rPr>
          <w:rFonts w:ascii="Palatino Linotype" w:hAnsi="Palatino Linotype" w:cs="Arial"/>
        </w:rPr>
        <w:t>Asimismo,</w:t>
      </w:r>
      <w:r w:rsidR="00990A59" w:rsidRPr="00BA7203">
        <w:rPr>
          <w:rFonts w:ascii="Palatino Linotype" w:hAnsi="Palatino Linotype" w:cs="Arial"/>
        </w:rPr>
        <w:t xml:space="preserve"> de acuerdo al glosario que se encuentra</w:t>
      </w:r>
      <w:r w:rsidR="00990A59">
        <w:rPr>
          <w:rFonts w:ascii="Palatino Linotype" w:hAnsi="Palatino Linotype" w:cs="Arial"/>
        </w:rPr>
        <w:t xml:space="preserve"> publicado en la página del Servicio de Administración Tributaria, debe entenderse por </w:t>
      </w:r>
      <w:r w:rsidR="00990A59" w:rsidRPr="00471DE9">
        <w:rPr>
          <w:rFonts w:ascii="Palatino Linotype" w:hAnsi="Palatino Linotype" w:cs="Arial"/>
          <w:i/>
        </w:rPr>
        <w:t>factura</w:t>
      </w:r>
      <w:r w:rsidR="00990A59">
        <w:rPr>
          <w:rFonts w:ascii="Palatino Linotype" w:hAnsi="Palatino Linotype" w:cs="Arial"/>
        </w:rPr>
        <w:t xml:space="preserve"> aquel documento con todos los requisitos fiscales que expide un contribuyente </w:t>
      </w:r>
      <w:r w:rsidR="00990A59" w:rsidRPr="00471DE9">
        <w:rPr>
          <w:rFonts w:ascii="Palatino Linotype" w:hAnsi="Palatino Linotype" w:cs="Arial"/>
          <w:u w:val="single"/>
        </w:rPr>
        <w:t>en el que consta</w:t>
      </w:r>
      <w:r w:rsidR="00990A59">
        <w:rPr>
          <w:rFonts w:ascii="Palatino Linotype" w:hAnsi="Palatino Linotype" w:cs="Arial"/>
        </w:rPr>
        <w:t xml:space="preserve"> el tipo de mercancía o servicios de una operación comercial y </w:t>
      </w:r>
      <w:r w:rsidR="00990A59" w:rsidRPr="00471DE9">
        <w:rPr>
          <w:rFonts w:ascii="Palatino Linotype" w:hAnsi="Palatino Linotype" w:cs="Arial"/>
          <w:u w:val="single"/>
        </w:rPr>
        <w:t>el importe cobrado por ellos</w:t>
      </w:r>
      <w:r w:rsidR="00990A59">
        <w:rPr>
          <w:rFonts w:ascii="Palatino Linotype" w:hAnsi="Palatino Linotype" w:cs="Arial"/>
        </w:rPr>
        <w:t>.</w:t>
      </w:r>
    </w:p>
    <w:p w14:paraId="28BA04A9" w14:textId="65073B65" w:rsidR="00990A59" w:rsidRDefault="00FD5AD3" w:rsidP="00990A59">
      <w:pPr>
        <w:spacing w:before="240" w:line="360" w:lineRule="auto"/>
        <w:ind w:right="49"/>
        <w:jc w:val="both"/>
        <w:rPr>
          <w:rFonts w:ascii="Palatino Linotype" w:hAnsi="Palatino Linotype" w:cs="Arial"/>
        </w:rPr>
      </w:pPr>
      <w:r>
        <w:rPr>
          <w:rFonts w:ascii="Palatino Linotype" w:hAnsi="Palatino Linotype" w:cs="Arial"/>
        </w:rPr>
        <w:t>Al respecto</w:t>
      </w:r>
      <w:r w:rsidR="00990A59">
        <w:rPr>
          <w:rFonts w:ascii="Palatino Linotype" w:hAnsi="Palatino Linotype" w:cs="Arial"/>
        </w:rPr>
        <w:t xml:space="preserve">, </w:t>
      </w:r>
      <w:r>
        <w:rPr>
          <w:rFonts w:ascii="Palatino Linotype" w:hAnsi="Palatino Linotype" w:cs="Arial"/>
        </w:rPr>
        <w:t>también es de interés</w:t>
      </w:r>
      <w:r w:rsidR="00990A59">
        <w:rPr>
          <w:rFonts w:ascii="Palatino Linotype" w:hAnsi="Palatino Linotype" w:cs="Arial"/>
        </w:rPr>
        <w:t xml:space="preserve"> lo que disponen los artículos 129 segundo párrafo de la Constitución Política del Estado Libre y Soberano de México; 31 fracción VII de la Ley Orgánica Municipal del Estado de México y 4 de la Ley de Contratación Pública del Estado de México, a saber:</w:t>
      </w:r>
    </w:p>
    <w:p w14:paraId="035182F7" w14:textId="77777777" w:rsidR="00990A59" w:rsidRPr="00704777" w:rsidRDefault="00990A59" w:rsidP="00990A59">
      <w:pPr>
        <w:spacing w:before="240" w:after="240"/>
        <w:ind w:right="1041"/>
        <w:jc w:val="both"/>
        <w:rPr>
          <w:rFonts w:ascii="Palatino Linotype" w:hAnsi="Palatino Linotype"/>
          <w:i/>
          <w:sz w:val="22"/>
          <w:szCs w:val="22"/>
        </w:rPr>
      </w:pPr>
      <w:r w:rsidRPr="00704777">
        <w:rPr>
          <w:rFonts w:ascii="Palatino Linotype" w:hAnsi="Palatino Linotype"/>
          <w:b/>
          <w:sz w:val="22"/>
          <w:szCs w:val="22"/>
        </w:rPr>
        <w:t>Constitución Política del Estado Libre y Soberano de México</w:t>
      </w:r>
      <w:r w:rsidRPr="00704777">
        <w:rPr>
          <w:rFonts w:ascii="Palatino Linotype" w:hAnsi="Palatino Linotype"/>
          <w:i/>
          <w:sz w:val="22"/>
          <w:szCs w:val="22"/>
        </w:rPr>
        <w:t>.</w:t>
      </w:r>
    </w:p>
    <w:p w14:paraId="691A00B7" w14:textId="77777777" w:rsidR="00990A59" w:rsidRPr="00704777" w:rsidRDefault="00990A59" w:rsidP="00990A59">
      <w:pPr>
        <w:spacing w:before="240" w:after="240"/>
        <w:ind w:left="993" w:right="1041"/>
        <w:jc w:val="both"/>
        <w:rPr>
          <w:rFonts w:ascii="Palatino Linotype" w:hAnsi="Palatino Linotype"/>
          <w:i/>
          <w:sz w:val="22"/>
          <w:szCs w:val="22"/>
        </w:rPr>
      </w:pPr>
      <w:r w:rsidRPr="00704777">
        <w:rPr>
          <w:rFonts w:ascii="Palatino Linotype" w:hAnsi="Palatino Linotype"/>
          <w:i/>
          <w:sz w:val="22"/>
          <w:szCs w:val="22"/>
        </w:rPr>
        <w:t>“</w:t>
      </w:r>
      <w:r w:rsidRPr="00704777">
        <w:rPr>
          <w:rFonts w:ascii="Palatino Linotype" w:hAnsi="Palatino Linotype"/>
          <w:b/>
          <w:i/>
          <w:sz w:val="22"/>
          <w:szCs w:val="22"/>
        </w:rPr>
        <w:t>Artículo 129</w:t>
      </w:r>
      <w:r w:rsidRPr="00704777">
        <w:rPr>
          <w:rFonts w:ascii="Palatino Linotype" w:hAnsi="Palatino Linotype"/>
          <w:i/>
          <w:sz w:val="22"/>
          <w:szCs w:val="22"/>
        </w:rPr>
        <w:t>.- (…)</w:t>
      </w:r>
    </w:p>
    <w:p w14:paraId="259A5529" w14:textId="77777777" w:rsidR="00990A59" w:rsidRPr="00704777" w:rsidRDefault="00990A59" w:rsidP="00990A59">
      <w:pPr>
        <w:spacing w:before="240" w:after="240"/>
        <w:ind w:left="993" w:right="1041"/>
        <w:jc w:val="both"/>
        <w:rPr>
          <w:rFonts w:ascii="Palatino Linotype" w:hAnsi="Palatino Linotype"/>
          <w:i/>
          <w:sz w:val="22"/>
          <w:szCs w:val="22"/>
        </w:rPr>
      </w:pPr>
      <w:r w:rsidRPr="00B006F4">
        <w:rPr>
          <w:rFonts w:ascii="Palatino Linotype" w:hAnsi="Palatino Linotype"/>
          <w:b/>
          <w:i/>
          <w:sz w:val="22"/>
          <w:szCs w:val="22"/>
          <w:u w:val="single"/>
        </w:rPr>
        <w:t>Las adquisiciones</w:t>
      </w:r>
      <w:r w:rsidRPr="00704777">
        <w:rPr>
          <w:rFonts w:ascii="Palatino Linotype" w:hAnsi="Palatino Linotype"/>
          <w:b/>
          <w:i/>
          <w:sz w:val="22"/>
          <w:szCs w:val="22"/>
        </w:rPr>
        <w:t xml:space="preserve">, </w:t>
      </w:r>
      <w:r w:rsidRPr="00B006F4">
        <w:rPr>
          <w:rFonts w:ascii="Palatino Linotype" w:hAnsi="Palatino Linotype"/>
          <w:i/>
          <w:sz w:val="22"/>
          <w:szCs w:val="22"/>
        </w:rPr>
        <w:t>arrendamientos y enajenaciones</w:t>
      </w:r>
      <w:r w:rsidRPr="00704777">
        <w:rPr>
          <w:rFonts w:ascii="Palatino Linotype" w:hAnsi="Palatino Linotype"/>
          <w:b/>
          <w:i/>
          <w:sz w:val="22"/>
          <w:szCs w:val="22"/>
        </w:rPr>
        <w:t xml:space="preserve"> </w:t>
      </w:r>
      <w:r w:rsidRPr="00B006F4">
        <w:rPr>
          <w:rFonts w:ascii="Palatino Linotype" w:hAnsi="Palatino Linotype"/>
          <w:b/>
          <w:i/>
          <w:sz w:val="22"/>
          <w:szCs w:val="22"/>
          <w:u w:val="single"/>
        </w:rPr>
        <w:t>de todo tipo de bienes, la prestación de servicios de cualquier naturaleza</w:t>
      </w:r>
      <w:r w:rsidRPr="00704777">
        <w:rPr>
          <w:rFonts w:ascii="Palatino Linotype" w:hAnsi="Palatino Linotype"/>
          <w:b/>
          <w:i/>
          <w:sz w:val="22"/>
          <w:szCs w:val="22"/>
        </w:rPr>
        <w:t xml:space="preserve"> </w:t>
      </w:r>
      <w:r w:rsidRPr="00B006F4">
        <w:rPr>
          <w:rFonts w:ascii="Palatino Linotype" w:hAnsi="Palatino Linotype"/>
          <w:i/>
          <w:sz w:val="22"/>
          <w:szCs w:val="22"/>
        </w:rPr>
        <w:t>y la contratación de obra se llevarán a cabo y</w:t>
      </w:r>
      <w:r w:rsidRPr="00704777">
        <w:rPr>
          <w:rFonts w:ascii="Palatino Linotype" w:hAnsi="Palatino Linotype"/>
          <w:b/>
          <w:i/>
          <w:sz w:val="22"/>
          <w:szCs w:val="22"/>
        </w:rPr>
        <w:t xml:space="preserve"> se adjudicarán por medio de </w:t>
      </w:r>
      <w:r w:rsidRPr="00704777">
        <w:rPr>
          <w:rFonts w:ascii="Palatino Linotype" w:hAnsi="Palatino Linotype"/>
          <w:b/>
          <w:i/>
          <w:sz w:val="22"/>
          <w:szCs w:val="22"/>
          <w:u w:val="single"/>
        </w:rPr>
        <w:t>licitaciones públicas</w:t>
      </w:r>
      <w:r w:rsidRPr="00704777">
        <w:rPr>
          <w:rFonts w:ascii="Palatino Linotype" w:hAnsi="Palatino Linotype"/>
          <w:i/>
          <w:sz w:val="22"/>
          <w:szCs w:val="22"/>
        </w:rPr>
        <w:t xml:space="preserve"> mediante convocatoria pública, para que se presenten propuestas en sobre cerrado que serán abiertos públicamente, procesos en los que se </w:t>
      </w:r>
      <w:r w:rsidRPr="00704777">
        <w:rPr>
          <w:rFonts w:ascii="Palatino Linotype" w:hAnsi="Palatino Linotype"/>
          <w:i/>
          <w:sz w:val="22"/>
          <w:szCs w:val="22"/>
        </w:rPr>
        <w:lastRenderedPageBreak/>
        <w:t>privilegiará el uso de las tecnologías de la información y comunicación, a fin de asegurar al Gobierno del Estado y a los municipios, las mejores condiciones disponibles en cuanto a precio, calidad, financiamiento, oportunidad y demás circunstancias pertinentes. La ley establecerá las bases para el uso de dichas tecnologías…”</w:t>
      </w:r>
    </w:p>
    <w:p w14:paraId="2CC1C6DC" w14:textId="77777777" w:rsidR="00990A59" w:rsidRPr="00704777" w:rsidRDefault="00990A59" w:rsidP="00990A59">
      <w:pPr>
        <w:spacing w:before="240" w:after="240"/>
        <w:ind w:right="1041"/>
        <w:jc w:val="both"/>
        <w:rPr>
          <w:rFonts w:ascii="Palatino Linotype" w:hAnsi="Palatino Linotype"/>
          <w:i/>
          <w:sz w:val="22"/>
          <w:szCs w:val="22"/>
        </w:rPr>
      </w:pPr>
      <w:r w:rsidRPr="00704777">
        <w:rPr>
          <w:rFonts w:ascii="Palatino Linotype" w:hAnsi="Palatino Linotype"/>
          <w:b/>
          <w:sz w:val="22"/>
          <w:szCs w:val="22"/>
        </w:rPr>
        <w:t>Ley Orgánica Municipal del Estado de México</w:t>
      </w:r>
      <w:r w:rsidRPr="00704777">
        <w:rPr>
          <w:rFonts w:ascii="Palatino Linotype" w:hAnsi="Palatino Linotype"/>
          <w:i/>
          <w:sz w:val="22"/>
          <w:szCs w:val="22"/>
        </w:rPr>
        <w:t>.</w:t>
      </w:r>
    </w:p>
    <w:p w14:paraId="20F6ABE8" w14:textId="77777777" w:rsidR="00990A59" w:rsidRPr="00704777" w:rsidRDefault="00990A59" w:rsidP="00990A59">
      <w:pPr>
        <w:spacing w:before="240" w:after="240"/>
        <w:ind w:left="993" w:right="1041"/>
        <w:jc w:val="both"/>
        <w:rPr>
          <w:rFonts w:ascii="Palatino Linotype" w:hAnsi="Palatino Linotype"/>
          <w:i/>
          <w:sz w:val="22"/>
          <w:szCs w:val="22"/>
        </w:rPr>
      </w:pPr>
      <w:r w:rsidRPr="00704777">
        <w:rPr>
          <w:rFonts w:ascii="Palatino Linotype" w:hAnsi="Palatino Linotype"/>
          <w:i/>
          <w:sz w:val="22"/>
          <w:szCs w:val="22"/>
        </w:rPr>
        <w:t>“</w:t>
      </w:r>
      <w:r w:rsidRPr="00704777">
        <w:rPr>
          <w:rFonts w:ascii="Palatino Linotype" w:hAnsi="Palatino Linotype"/>
          <w:b/>
          <w:i/>
          <w:sz w:val="22"/>
          <w:szCs w:val="22"/>
        </w:rPr>
        <w:t>Artículo 31</w:t>
      </w:r>
      <w:r w:rsidRPr="00704777">
        <w:rPr>
          <w:rFonts w:ascii="Palatino Linotype" w:hAnsi="Palatino Linotype"/>
          <w:i/>
          <w:sz w:val="22"/>
          <w:szCs w:val="22"/>
        </w:rPr>
        <w:t xml:space="preserve">.- Son </w:t>
      </w:r>
      <w:r w:rsidRPr="00704777">
        <w:rPr>
          <w:rFonts w:ascii="Palatino Linotype" w:hAnsi="Palatino Linotype"/>
          <w:b/>
          <w:i/>
          <w:sz w:val="22"/>
          <w:szCs w:val="22"/>
        </w:rPr>
        <w:t>atribuciones de los ayuntamientos</w:t>
      </w:r>
      <w:r w:rsidRPr="00704777">
        <w:rPr>
          <w:rFonts w:ascii="Palatino Linotype" w:hAnsi="Palatino Linotype"/>
          <w:i/>
          <w:sz w:val="22"/>
          <w:szCs w:val="22"/>
        </w:rPr>
        <w:t>:</w:t>
      </w:r>
    </w:p>
    <w:p w14:paraId="322DAFC9" w14:textId="77777777" w:rsidR="00990A59" w:rsidRDefault="00990A59" w:rsidP="00990A59">
      <w:pPr>
        <w:spacing w:before="240" w:after="240"/>
        <w:ind w:left="993" w:right="1041"/>
        <w:jc w:val="both"/>
        <w:rPr>
          <w:rFonts w:ascii="Palatino Linotype" w:hAnsi="Palatino Linotype"/>
          <w:i/>
          <w:sz w:val="22"/>
          <w:szCs w:val="22"/>
        </w:rPr>
      </w:pPr>
      <w:r w:rsidRPr="00704777">
        <w:rPr>
          <w:rFonts w:ascii="Palatino Linotype" w:hAnsi="Palatino Linotype"/>
          <w:i/>
          <w:sz w:val="22"/>
          <w:szCs w:val="22"/>
        </w:rPr>
        <w:t xml:space="preserve">VII. </w:t>
      </w:r>
      <w:r w:rsidRPr="00B006F4">
        <w:rPr>
          <w:rFonts w:ascii="Palatino Linotype" w:hAnsi="Palatino Linotype"/>
          <w:b/>
          <w:i/>
          <w:sz w:val="22"/>
          <w:szCs w:val="22"/>
          <w:u w:val="single"/>
        </w:rPr>
        <w:t>Convenir, contratar</w:t>
      </w:r>
      <w:r w:rsidRPr="00704777">
        <w:rPr>
          <w:rFonts w:ascii="Palatino Linotype" w:hAnsi="Palatino Linotype"/>
          <w:b/>
          <w:i/>
          <w:sz w:val="22"/>
          <w:szCs w:val="22"/>
        </w:rPr>
        <w:t xml:space="preserve"> o concesionar, en términos de ley, la ejecución de obras y </w:t>
      </w:r>
      <w:r w:rsidRPr="00B006F4">
        <w:rPr>
          <w:rFonts w:ascii="Palatino Linotype" w:hAnsi="Palatino Linotype"/>
          <w:b/>
          <w:i/>
          <w:sz w:val="22"/>
          <w:szCs w:val="22"/>
          <w:u w:val="single"/>
        </w:rPr>
        <w:t>la prestación de servicios públicos</w:t>
      </w:r>
      <w:r w:rsidRPr="00704777">
        <w:rPr>
          <w:rFonts w:ascii="Palatino Linotype" w:hAnsi="Palatino Linotype"/>
          <w:i/>
          <w:sz w:val="22"/>
          <w:szCs w:val="22"/>
        </w:rPr>
        <w:t>, con el Estado, con otros municipios de la entidad o con particulares, recabando, cuando proceda, la autorización de la Legislatura del Estado…”</w:t>
      </w:r>
    </w:p>
    <w:p w14:paraId="1DBD76F5" w14:textId="77777777" w:rsidR="00990A59" w:rsidRPr="00704777" w:rsidRDefault="00990A59" w:rsidP="00990A59">
      <w:pPr>
        <w:spacing w:before="240" w:after="240"/>
        <w:ind w:right="1041"/>
        <w:jc w:val="both"/>
        <w:rPr>
          <w:rFonts w:ascii="Palatino Linotype" w:hAnsi="Palatino Linotype"/>
          <w:i/>
          <w:sz w:val="22"/>
          <w:szCs w:val="22"/>
        </w:rPr>
      </w:pPr>
      <w:r w:rsidRPr="00704777">
        <w:rPr>
          <w:rFonts w:ascii="Palatino Linotype" w:hAnsi="Palatino Linotype"/>
          <w:b/>
          <w:sz w:val="22"/>
          <w:szCs w:val="22"/>
        </w:rPr>
        <w:t xml:space="preserve">Ley </w:t>
      </w:r>
      <w:r>
        <w:rPr>
          <w:rFonts w:ascii="Palatino Linotype" w:hAnsi="Palatino Linotype"/>
          <w:b/>
          <w:sz w:val="22"/>
          <w:szCs w:val="22"/>
        </w:rPr>
        <w:t>de Contratación Pública</w:t>
      </w:r>
      <w:r w:rsidRPr="00704777">
        <w:rPr>
          <w:rFonts w:ascii="Palatino Linotype" w:hAnsi="Palatino Linotype"/>
          <w:b/>
          <w:sz w:val="22"/>
          <w:szCs w:val="22"/>
        </w:rPr>
        <w:t xml:space="preserve"> del Estado de México</w:t>
      </w:r>
      <w:r w:rsidRPr="00704777">
        <w:rPr>
          <w:rFonts w:ascii="Palatino Linotype" w:hAnsi="Palatino Linotype"/>
          <w:i/>
          <w:sz w:val="22"/>
          <w:szCs w:val="22"/>
        </w:rPr>
        <w:t>.</w:t>
      </w:r>
    </w:p>
    <w:p w14:paraId="08894CAE" w14:textId="77777777" w:rsidR="00990A59" w:rsidRPr="00DB48A8" w:rsidRDefault="00990A59" w:rsidP="00990A59">
      <w:pPr>
        <w:spacing w:before="240"/>
        <w:ind w:left="993" w:right="1041"/>
        <w:jc w:val="both"/>
        <w:rPr>
          <w:rFonts w:ascii="Palatino Linotype" w:hAnsi="Palatino Linotype"/>
          <w:i/>
          <w:sz w:val="22"/>
          <w:szCs w:val="22"/>
        </w:rPr>
      </w:pPr>
      <w:r w:rsidRPr="00DB48A8">
        <w:rPr>
          <w:rFonts w:ascii="Palatino Linotype" w:hAnsi="Palatino Linotype"/>
          <w:i/>
          <w:sz w:val="22"/>
          <w:szCs w:val="22"/>
        </w:rPr>
        <w:t>“</w:t>
      </w:r>
      <w:r w:rsidRPr="00DB48A8">
        <w:rPr>
          <w:rFonts w:ascii="Palatino Linotype" w:hAnsi="Palatino Linotype"/>
          <w:b/>
          <w:i/>
          <w:sz w:val="22"/>
          <w:szCs w:val="22"/>
        </w:rPr>
        <w:t>Artículo 4.-</w:t>
      </w:r>
      <w:r w:rsidRPr="00DB48A8">
        <w:rPr>
          <w:rFonts w:ascii="Palatino Linotype" w:hAnsi="Palatino Linotype"/>
          <w:i/>
          <w:sz w:val="22"/>
          <w:szCs w:val="22"/>
        </w:rPr>
        <w:t xml:space="preserve"> Para los efectos de esta Ley, </w:t>
      </w:r>
      <w:r w:rsidRPr="00DB48A8">
        <w:rPr>
          <w:rFonts w:ascii="Palatino Linotype" w:hAnsi="Palatino Linotype"/>
          <w:b/>
          <w:i/>
          <w:sz w:val="22"/>
          <w:szCs w:val="22"/>
        </w:rPr>
        <w:t>en las adquisiciones, enajenaciones, arrendamientos y servicios, quedan comprendidos</w:t>
      </w:r>
      <w:r w:rsidRPr="00DB48A8">
        <w:rPr>
          <w:rFonts w:ascii="Palatino Linotype" w:hAnsi="Palatino Linotype"/>
          <w:i/>
          <w:sz w:val="22"/>
          <w:szCs w:val="22"/>
        </w:rPr>
        <w:t xml:space="preserve">: </w:t>
      </w:r>
    </w:p>
    <w:p w14:paraId="164F611E" w14:textId="77777777" w:rsidR="00990A59" w:rsidRPr="00DB48A8" w:rsidRDefault="00990A59" w:rsidP="00990A59">
      <w:pPr>
        <w:spacing w:before="240"/>
        <w:ind w:left="993" w:right="1041"/>
        <w:jc w:val="both"/>
        <w:rPr>
          <w:rFonts w:ascii="Palatino Linotype" w:hAnsi="Palatino Linotype"/>
          <w:i/>
          <w:sz w:val="22"/>
          <w:szCs w:val="22"/>
        </w:rPr>
      </w:pPr>
      <w:r w:rsidRPr="00DB48A8">
        <w:rPr>
          <w:rFonts w:ascii="Palatino Linotype" w:hAnsi="Palatino Linotype"/>
          <w:b/>
          <w:i/>
          <w:sz w:val="22"/>
          <w:szCs w:val="22"/>
        </w:rPr>
        <w:t>I. La adquisición de bienes muebles</w:t>
      </w:r>
      <w:r w:rsidRPr="00DB48A8">
        <w:rPr>
          <w:rFonts w:ascii="Palatino Linotype" w:hAnsi="Palatino Linotype"/>
          <w:i/>
          <w:sz w:val="22"/>
          <w:szCs w:val="22"/>
        </w:rPr>
        <w:t xml:space="preserve">. </w:t>
      </w:r>
    </w:p>
    <w:p w14:paraId="7E4D6E52" w14:textId="77777777" w:rsidR="00990A59" w:rsidRPr="00DB48A8" w:rsidRDefault="00990A59" w:rsidP="00990A59">
      <w:pPr>
        <w:spacing w:before="240"/>
        <w:ind w:left="993" w:right="1041"/>
        <w:jc w:val="both"/>
        <w:rPr>
          <w:rFonts w:ascii="Palatino Linotype" w:hAnsi="Palatino Linotype"/>
          <w:i/>
          <w:sz w:val="22"/>
          <w:szCs w:val="22"/>
        </w:rPr>
      </w:pPr>
      <w:r w:rsidRPr="00DB48A8">
        <w:rPr>
          <w:rFonts w:ascii="Palatino Linotype" w:hAnsi="Palatino Linotype"/>
          <w:i/>
          <w:sz w:val="22"/>
          <w:szCs w:val="22"/>
        </w:rPr>
        <w:t xml:space="preserve">II. La adquisición de bienes inmuebles, a través de compraventa. </w:t>
      </w:r>
    </w:p>
    <w:p w14:paraId="7B8E495B" w14:textId="77777777" w:rsidR="00990A59" w:rsidRPr="00DB48A8" w:rsidRDefault="00990A59" w:rsidP="00990A59">
      <w:pPr>
        <w:spacing w:before="240"/>
        <w:ind w:left="993" w:right="1041"/>
        <w:jc w:val="both"/>
        <w:rPr>
          <w:rFonts w:ascii="Palatino Linotype" w:hAnsi="Palatino Linotype"/>
          <w:i/>
          <w:sz w:val="22"/>
          <w:szCs w:val="22"/>
        </w:rPr>
      </w:pPr>
      <w:r w:rsidRPr="00DB48A8">
        <w:rPr>
          <w:rFonts w:ascii="Palatino Linotype" w:hAnsi="Palatino Linotype"/>
          <w:i/>
          <w:sz w:val="22"/>
          <w:szCs w:val="22"/>
        </w:rPr>
        <w:t xml:space="preserve">III. La enajenación de bienes muebles e inmuebles. </w:t>
      </w:r>
    </w:p>
    <w:p w14:paraId="1CA114C8" w14:textId="77777777" w:rsidR="00990A59" w:rsidRPr="00DB48A8" w:rsidRDefault="00990A59" w:rsidP="00990A59">
      <w:pPr>
        <w:spacing w:before="240"/>
        <w:ind w:left="993" w:right="1041"/>
        <w:jc w:val="both"/>
        <w:rPr>
          <w:rFonts w:ascii="Palatino Linotype" w:hAnsi="Palatino Linotype"/>
          <w:i/>
          <w:sz w:val="22"/>
          <w:szCs w:val="22"/>
        </w:rPr>
      </w:pPr>
      <w:r w:rsidRPr="00DB48A8">
        <w:rPr>
          <w:rFonts w:ascii="Palatino Linotype" w:hAnsi="Palatino Linotype"/>
          <w:i/>
          <w:sz w:val="22"/>
          <w:szCs w:val="22"/>
        </w:rPr>
        <w:t xml:space="preserve">IV. El arrendamiento de bienes muebles e inmuebles. </w:t>
      </w:r>
    </w:p>
    <w:p w14:paraId="6AA705B6" w14:textId="77777777" w:rsidR="00990A59" w:rsidRPr="00DB48A8" w:rsidRDefault="00990A59" w:rsidP="00990A59">
      <w:pPr>
        <w:spacing w:before="240"/>
        <w:ind w:left="993" w:right="1041"/>
        <w:jc w:val="both"/>
        <w:rPr>
          <w:rFonts w:ascii="Palatino Linotype" w:hAnsi="Palatino Linotype"/>
          <w:i/>
          <w:sz w:val="22"/>
          <w:szCs w:val="22"/>
        </w:rPr>
      </w:pPr>
      <w:r w:rsidRPr="00DB48A8">
        <w:rPr>
          <w:rFonts w:ascii="Palatino Linotype" w:hAnsi="Palatino Linotype"/>
          <w:i/>
          <w:sz w:val="22"/>
          <w:szCs w:val="22"/>
        </w:rPr>
        <w:t xml:space="preserve">V. La contratación de los servicios, relacionados con bienes muebles que se encuentran incorporados o adheridos a bienes inmuebles, cuya instalación o mantenimiento no implique modificación al bien inmueble. </w:t>
      </w:r>
    </w:p>
    <w:p w14:paraId="2492F4C8" w14:textId="77777777" w:rsidR="00990A59" w:rsidRPr="00DB48A8" w:rsidRDefault="00990A59" w:rsidP="00990A59">
      <w:pPr>
        <w:spacing w:before="240"/>
        <w:ind w:left="993" w:right="1041"/>
        <w:jc w:val="both"/>
        <w:rPr>
          <w:rFonts w:ascii="Palatino Linotype" w:hAnsi="Palatino Linotype"/>
          <w:i/>
          <w:sz w:val="22"/>
          <w:szCs w:val="22"/>
        </w:rPr>
      </w:pPr>
      <w:r w:rsidRPr="00DB48A8">
        <w:rPr>
          <w:rFonts w:ascii="Palatino Linotype" w:hAnsi="Palatino Linotype"/>
          <w:i/>
          <w:sz w:val="22"/>
          <w:szCs w:val="22"/>
        </w:rPr>
        <w:t xml:space="preserve">VI. La contratación de los servicios de reconstrucción y mantenimiento de bienes muebles. </w:t>
      </w:r>
    </w:p>
    <w:p w14:paraId="34C55215" w14:textId="77777777" w:rsidR="00990A59" w:rsidRPr="00DB48A8" w:rsidRDefault="00990A59" w:rsidP="00990A59">
      <w:pPr>
        <w:spacing w:before="240"/>
        <w:ind w:left="993" w:right="1041"/>
        <w:jc w:val="both"/>
        <w:rPr>
          <w:rFonts w:ascii="Palatino Linotype" w:hAnsi="Palatino Linotype"/>
          <w:i/>
          <w:sz w:val="22"/>
          <w:szCs w:val="22"/>
        </w:rPr>
      </w:pPr>
      <w:r w:rsidRPr="00DB48A8">
        <w:rPr>
          <w:rFonts w:ascii="Palatino Linotype" w:hAnsi="Palatino Linotype"/>
          <w:i/>
          <w:sz w:val="22"/>
          <w:szCs w:val="22"/>
        </w:rPr>
        <w:t xml:space="preserve">VII. La contratación de los servicios de maquila, seguros y transportación, así como de los de limpieza y vigilancia de bienes inmuebles. </w:t>
      </w:r>
    </w:p>
    <w:p w14:paraId="10EAB6AA" w14:textId="77777777" w:rsidR="00990A59" w:rsidRPr="00DB48A8" w:rsidRDefault="00990A59" w:rsidP="00990A59">
      <w:pPr>
        <w:spacing w:before="240"/>
        <w:ind w:left="993" w:right="1041"/>
        <w:jc w:val="both"/>
        <w:rPr>
          <w:rFonts w:ascii="Palatino Linotype" w:hAnsi="Palatino Linotype"/>
          <w:i/>
          <w:sz w:val="22"/>
          <w:szCs w:val="22"/>
        </w:rPr>
      </w:pPr>
      <w:r w:rsidRPr="00DB48A8">
        <w:rPr>
          <w:rFonts w:ascii="Palatino Linotype" w:hAnsi="Palatino Linotype"/>
          <w:i/>
          <w:sz w:val="22"/>
          <w:szCs w:val="22"/>
        </w:rPr>
        <w:t xml:space="preserve">VIII. La prestación de servicios profesionales, la contratación de consultorías, asesorías y estudios e investigaciones, excepto la contratación de servicios personales de personas físicas bajo el régimen de honorarios. </w:t>
      </w:r>
    </w:p>
    <w:p w14:paraId="176E52BB" w14:textId="77777777" w:rsidR="00990A59" w:rsidRPr="00DB48A8" w:rsidRDefault="00990A59" w:rsidP="00990A59">
      <w:pPr>
        <w:spacing w:before="240"/>
        <w:ind w:left="993" w:right="1041"/>
        <w:jc w:val="both"/>
        <w:rPr>
          <w:rFonts w:ascii="Palatino Linotype" w:hAnsi="Palatino Linotype"/>
          <w:b/>
          <w:i/>
          <w:sz w:val="22"/>
          <w:szCs w:val="22"/>
        </w:rPr>
      </w:pPr>
      <w:r w:rsidRPr="00DB48A8">
        <w:rPr>
          <w:rFonts w:ascii="Palatino Linotype" w:hAnsi="Palatino Linotype"/>
          <w:b/>
          <w:i/>
          <w:sz w:val="22"/>
          <w:szCs w:val="22"/>
        </w:rPr>
        <w:lastRenderedPageBreak/>
        <w:t>En general, otros actos que impliquen la contratación de servicios de cualquier naturaleza.”</w:t>
      </w:r>
    </w:p>
    <w:p w14:paraId="7E688188" w14:textId="77777777" w:rsidR="00990A59" w:rsidRDefault="00990A59" w:rsidP="00990A59">
      <w:pPr>
        <w:pStyle w:val="NormalWeb"/>
        <w:ind w:left="708" w:right="1041"/>
        <w:jc w:val="both"/>
        <w:rPr>
          <w:rFonts w:ascii="Palatino Linotype" w:hAnsi="Palatino Linotype"/>
          <w:i/>
          <w:sz w:val="22"/>
          <w:szCs w:val="22"/>
        </w:rPr>
      </w:pPr>
      <w:r>
        <w:rPr>
          <w:rFonts w:ascii="Palatino Linotype" w:hAnsi="Palatino Linotype"/>
          <w:i/>
          <w:sz w:val="22"/>
          <w:szCs w:val="22"/>
        </w:rPr>
        <w:t>(Énfasis añadido)</w:t>
      </w:r>
    </w:p>
    <w:p w14:paraId="0A3E480E" w14:textId="27CD8F7C" w:rsidR="00990A59" w:rsidRDefault="00990A59" w:rsidP="00990A59">
      <w:pPr>
        <w:spacing w:before="240" w:line="360" w:lineRule="auto"/>
        <w:ind w:right="49"/>
        <w:jc w:val="both"/>
        <w:rPr>
          <w:rFonts w:ascii="Palatino Linotype" w:hAnsi="Palatino Linotype"/>
        </w:rPr>
      </w:pPr>
      <w:r w:rsidRPr="00F860D1">
        <w:rPr>
          <w:rFonts w:ascii="Palatino Linotype" w:hAnsi="Palatino Linotype"/>
        </w:rPr>
        <w:t xml:space="preserve">De los supuestos normativos anteriores se desprende que los Ayuntamientos, tienen atribuciones para celebrar contratos y convenios en el ámbito de sus respectivas competencias, los cuales podrán ser relativos a la adquisición, enajenación y arrendamiento de bienes y la contratación de servicios de cualquier naturaleza; </w:t>
      </w:r>
      <w:r w:rsidR="00FD5AD3">
        <w:rPr>
          <w:rFonts w:ascii="Palatino Linotype" w:hAnsi="Palatino Linotype"/>
        </w:rPr>
        <w:t>por lo que</w:t>
      </w:r>
      <w:r w:rsidRPr="00F860D1">
        <w:rPr>
          <w:rFonts w:ascii="Palatino Linotype" w:hAnsi="Palatino Linotype"/>
        </w:rPr>
        <w:t xml:space="preserve"> resulta que de los actos que haya celebrado </w:t>
      </w:r>
      <w:r w:rsidRPr="004A59AA">
        <w:rPr>
          <w:rFonts w:ascii="Palatino Linotype" w:hAnsi="Palatino Linotype"/>
        </w:rPr>
        <w:t>el Sujeto Obligado</w:t>
      </w:r>
      <w:r>
        <w:rPr>
          <w:rFonts w:ascii="Palatino Linotype" w:hAnsi="Palatino Linotype"/>
        </w:rPr>
        <w:t>, con relación a</w:t>
      </w:r>
      <w:r w:rsidR="00FD5AD3">
        <w:rPr>
          <w:rFonts w:ascii="Palatino Linotype" w:hAnsi="Palatino Linotype"/>
        </w:rPr>
        <w:t xml:space="preserve"> la remodelación el auditorio municipal</w:t>
      </w:r>
      <w:r>
        <w:rPr>
          <w:rFonts w:ascii="Palatino Linotype" w:hAnsi="Palatino Linotype"/>
        </w:rPr>
        <w:t>, necesariamente debe contar con las facturas respectivas entregadas por las personas con las que haya celebrado el contrato o acto jurídico correspondiente, pues es evidente que dichos documentos implican la comprobación de la adquisición de los bienes o de la existencia del servicio prestado, así como del gasto efectuado en relación a los mismos.</w:t>
      </w:r>
    </w:p>
    <w:p w14:paraId="125EE820" w14:textId="77777777" w:rsidR="00990A59" w:rsidRPr="003A6D9C" w:rsidRDefault="00990A59" w:rsidP="00990A59">
      <w:pPr>
        <w:spacing w:before="240" w:after="240" w:line="360" w:lineRule="auto"/>
        <w:jc w:val="both"/>
        <w:rPr>
          <w:rFonts w:ascii="Palatino Linotype" w:hAnsi="Palatino Linotype"/>
          <w:color w:val="000000"/>
        </w:rPr>
      </w:pPr>
      <w:r>
        <w:rPr>
          <w:rFonts w:ascii="Palatino Linotype" w:hAnsi="Palatino Linotype"/>
          <w:color w:val="000000"/>
        </w:rPr>
        <w:t>Máxime que el artículo 5 de la Ley de Contratación Pública del Estado de México refiere expresamente que los ayuntamientos en el ámbito de su respectiva competencia tendrán a su cargo el trámite de los procedimientos de adquisición de bienes, contratación de servicios, arrendamientos y enajenaciones de bienes muebles e inmuebles, en consecuencia deberán tener los documentos que deriven de dicho trámite.</w:t>
      </w:r>
    </w:p>
    <w:p w14:paraId="5DFBDF73" w14:textId="77777777" w:rsidR="00990A59" w:rsidRDefault="00990A59" w:rsidP="00990A59">
      <w:pPr>
        <w:spacing w:before="240" w:line="360" w:lineRule="auto"/>
        <w:ind w:right="49"/>
        <w:jc w:val="both"/>
        <w:rPr>
          <w:rFonts w:ascii="Palatino Linotype" w:hAnsi="Palatino Linotype" w:cs="Arial"/>
        </w:rPr>
      </w:pPr>
      <w:r>
        <w:rPr>
          <w:rFonts w:ascii="Palatino Linotype" w:hAnsi="Palatino Linotype" w:cs="Arial"/>
        </w:rPr>
        <w:t>A man</w:t>
      </w:r>
      <w:r w:rsidRPr="00483EDD">
        <w:rPr>
          <w:rFonts w:ascii="Palatino Linotype" w:hAnsi="Palatino Linotype" w:cs="Arial"/>
        </w:rPr>
        <w:t xml:space="preserve">era de ejemplo resulta alusivo referir que en el Código Administrativo del Estado de México, dentro de su Libro Décimo Sexto, referente a los actos de planeación, programación, presupuestación, autorización, adjudicación, </w:t>
      </w:r>
      <w:r w:rsidRPr="00483EDD">
        <w:rPr>
          <w:rFonts w:ascii="Palatino Linotype" w:hAnsi="Palatino Linotype" w:cs="Arial"/>
        </w:rPr>
        <w:lastRenderedPageBreak/>
        <w:t>contratación, ejecución y control de proyectos para la prestación de servicios, concretamente en su Título Quinto de la adjudicación, celebración y aplicación de los contratos se dispone que la fecha de pago al proveedor no podrá exceder de cuarenta y cinco días posteriores a la presentación de la factura respectiva y previa la prestación de los servicios estipulados en el contrato</w:t>
      </w:r>
      <w:r w:rsidRPr="00483EDD">
        <w:rPr>
          <w:rStyle w:val="Refdenotaalpie"/>
          <w:rFonts w:ascii="Palatino Linotype" w:hAnsi="Palatino Linotype" w:cs="Arial"/>
        </w:rPr>
        <w:footnoteReference w:id="4"/>
      </w:r>
      <w:r w:rsidRPr="00483EDD">
        <w:rPr>
          <w:rFonts w:ascii="Palatino Linotype" w:hAnsi="Palatino Linotype" w:cs="Arial"/>
        </w:rPr>
        <w:t>, lo que indica que la presentación de las facturas a las autoridades se hará una vez que se haya prestado el servicio o se haya cumplido con el objet</w:t>
      </w:r>
      <w:r>
        <w:rPr>
          <w:rFonts w:ascii="Palatino Linotype" w:hAnsi="Palatino Linotype" w:cs="Arial"/>
        </w:rPr>
        <w:t>o del contrato celebrado entre é</w:t>
      </w:r>
      <w:r w:rsidRPr="00483EDD">
        <w:rPr>
          <w:rFonts w:ascii="Palatino Linotype" w:hAnsi="Palatino Linotype" w:cs="Arial"/>
        </w:rPr>
        <w:t xml:space="preserve">stas y los proveedores, ello para el pago que corresponda, con </w:t>
      </w:r>
      <w:r>
        <w:rPr>
          <w:rFonts w:ascii="Palatino Linotype" w:hAnsi="Palatino Linotype" w:cs="Arial"/>
        </w:rPr>
        <w:t xml:space="preserve">lo que </w:t>
      </w:r>
      <w:r w:rsidRPr="00483EDD">
        <w:rPr>
          <w:rFonts w:ascii="Palatino Linotype" w:hAnsi="Palatino Linotype" w:cs="Arial"/>
        </w:rPr>
        <w:t>se comprueba que las facturas son los documentos para la comprobación tanto del servicio prestado</w:t>
      </w:r>
      <w:r>
        <w:rPr>
          <w:rFonts w:ascii="Palatino Linotype" w:hAnsi="Palatino Linotype" w:cs="Arial"/>
        </w:rPr>
        <w:t xml:space="preserve"> o del bien adquirido</w:t>
      </w:r>
      <w:r w:rsidRPr="00483EDD">
        <w:rPr>
          <w:rFonts w:ascii="Palatino Linotype" w:hAnsi="Palatino Linotype" w:cs="Arial"/>
        </w:rPr>
        <w:t xml:space="preserve"> como del gasto ejercido por las autoridades.</w:t>
      </w:r>
    </w:p>
    <w:p w14:paraId="437918FF" w14:textId="595307EC" w:rsidR="00990A59" w:rsidRDefault="00990A59" w:rsidP="00990A59">
      <w:pPr>
        <w:spacing w:before="240" w:after="240" w:line="360" w:lineRule="auto"/>
        <w:ind w:right="49"/>
        <w:jc w:val="both"/>
        <w:rPr>
          <w:rFonts w:ascii="Palatino Linotype" w:hAnsi="Palatino Linotype" w:cs="Arial"/>
        </w:rPr>
      </w:pPr>
      <w:r>
        <w:rPr>
          <w:rFonts w:ascii="Palatino Linotype" w:hAnsi="Palatino Linotype" w:cs="Arial"/>
        </w:rPr>
        <w:t>D</w:t>
      </w:r>
      <w:r w:rsidR="00FD5AD3">
        <w:rPr>
          <w:rFonts w:ascii="Palatino Linotype" w:hAnsi="Palatino Linotype" w:cs="Arial"/>
        </w:rPr>
        <w:t xml:space="preserve">e tal manera </w:t>
      </w:r>
      <w:r>
        <w:rPr>
          <w:rFonts w:ascii="Palatino Linotype" w:hAnsi="Palatino Linotype" w:cs="Arial"/>
        </w:rPr>
        <w:t xml:space="preserve">que ante cualquier erogación del gasto, </w:t>
      </w:r>
      <w:r w:rsidR="00FD5AD3">
        <w:rPr>
          <w:rFonts w:ascii="Palatino Linotype" w:hAnsi="Palatino Linotype" w:cs="Arial"/>
        </w:rPr>
        <w:t>se debe</w:t>
      </w:r>
      <w:r>
        <w:rPr>
          <w:rFonts w:ascii="Palatino Linotype" w:hAnsi="Palatino Linotype" w:cs="Arial"/>
        </w:rPr>
        <w:t xml:space="preserve"> </w:t>
      </w:r>
      <w:r w:rsidR="00FD5AD3">
        <w:rPr>
          <w:rFonts w:ascii="Palatino Linotype" w:hAnsi="Palatino Linotype" w:cs="Arial"/>
        </w:rPr>
        <w:t>generar</w:t>
      </w:r>
      <w:r>
        <w:rPr>
          <w:rFonts w:ascii="Palatino Linotype" w:hAnsi="Palatino Linotype" w:cs="Arial"/>
        </w:rPr>
        <w:t xml:space="preserve"> una factura o cualquier otro documento denominado de diferente manera pero con las mismas características que aquella, que permita conocer el monto total erogado, los bienes adquiridos o los servicios prestados y las personas a quienes fueron pagados, dado que esos son parte de los datos que dichos documentos deben incluir; los cuales son susceptibles de hacerse de conocimiento público al encontrarse directamente relacionados con la erogación de los recursos públicos que son asignados a las entidades públicas.</w:t>
      </w:r>
    </w:p>
    <w:p w14:paraId="16BE4F6E" w14:textId="4CA81570" w:rsidR="00354C54" w:rsidRDefault="00354C54" w:rsidP="00354C54">
      <w:pPr>
        <w:spacing w:before="240" w:line="360" w:lineRule="auto"/>
        <w:ind w:right="49"/>
        <w:jc w:val="both"/>
        <w:rPr>
          <w:rFonts w:ascii="Palatino Linotype" w:hAnsi="Palatino Linotype" w:cs="Arial"/>
        </w:rPr>
      </w:pPr>
      <w:r>
        <w:rPr>
          <w:rFonts w:ascii="Palatino Linotype" w:hAnsi="Palatino Linotype" w:cs="Arial"/>
        </w:rPr>
        <w:t xml:space="preserve">Por consiguiente se insiste que de acuerdo a los Lineamientos para la integración  del Informe Mensual 2017 emitidos por el Órgano Superior de Fiscalización del </w:t>
      </w:r>
      <w:r>
        <w:rPr>
          <w:rFonts w:ascii="Palatino Linotype" w:hAnsi="Palatino Linotype" w:cs="Arial"/>
        </w:rPr>
        <w:lastRenderedPageBreak/>
        <w:t>Estado de México, que como ente fiscalizable se encontraba obligado a atender el Sujeto Obligado en el presente asunto; en el disco 5 debieron entregarse de manera digitalizada las pólizas de egresos con su respectivo soporte documental (entre los que se pueden ubicar a las transferencias bancarias y la facturas).</w:t>
      </w:r>
    </w:p>
    <w:p w14:paraId="0E672B90" w14:textId="33482656" w:rsidR="002402C4" w:rsidRDefault="00FD5AD3" w:rsidP="001949E9">
      <w:pPr>
        <w:spacing w:before="240" w:after="240" w:line="360" w:lineRule="auto"/>
        <w:ind w:right="49"/>
        <w:jc w:val="both"/>
        <w:rPr>
          <w:rFonts w:ascii="Palatino Linotype" w:eastAsia="Arial Unicode MS" w:hAnsi="Palatino Linotype" w:cs="Arial"/>
        </w:rPr>
      </w:pPr>
      <w:r>
        <w:rPr>
          <w:rFonts w:ascii="Palatino Linotype" w:hAnsi="Palatino Linotype" w:cs="Arial"/>
        </w:rPr>
        <w:t xml:space="preserve">Ahora bien, </w:t>
      </w:r>
      <w:r w:rsidR="008916F8">
        <w:rPr>
          <w:rFonts w:ascii="Palatino Linotype" w:hAnsi="Palatino Linotype" w:cs="Arial"/>
        </w:rPr>
        <w:t xml:space="preserve">el Sujeto Obligado </w:t>
      </w:r>
      <w:r w:rsidR="00354C54">
        <w:rPr>
          <w:rFonts w:ascii="Palatino Linotype" w:hAnsi="Palatino Linotype" w:cs="Arial"/>
        </w:rPr>
        <w:t>aludió</w:t>
      </w:r>
      <w:r w:rsidR="008916F8">
        <w:rPr>
          <w:rFonts w:ascii="Palatino Linotype" w:hAnsi="Palatino Linotype" w:cs="Arial"/>
        </w:rPr>
        <w:t xml:space="preserve"> en sus respuestas </w:t>
      </w:r>
      <w:r w:rsidR="00354C54">
        <w:rPr>
          <w:rFonts w:ascii="Palatino Linotype" w:hAnsi="Palatino Linotype" w:cs="Arial"/>
        </w:rPr>
        <w:t>respecto de la información requerida por el particular</w:t>
      </w:r>
      <w:r w:rsidR="008916F8">
        <w:rPr>
          <w:rFonts w:ascii="Palatino Linotype" w:hAnsi="Palatino Linotype" w:cs="Arial"/>
        </w:rPr>
        <w:t xml:space="preserve"> </w:t>
      </w:r>
      <w:r w:rsidR="00354C54">
        <w:rPr>
          <w:rFonts w:ascii="Palatino Linotype" w:hAnsi="Palatino Linotype" w:cs="Arial"/>
        </w:rPr>
        <w:t>que se encontraba</w:t>
      </w:r>
      <w:r w:rsidR="008916F8">
        <w:rPr>
          <w:rFonts w:ascii="Palatino Linotype" w:hAnsi="Palatino Linotype" w:cs="Arial"/>
        </w:rPr>
        <w:t xml:space="preserve"> genera</w:t>
      </w:r>
      <w:r w:rsidR="00664A68">
        <w:rPr>
          <w:rFonts w:ascii="Palatino Linotype" w:hAnsi="Palatino Linotype" w:cs="Arial"/>
        </w:rPr>
        <w:t>n</w:t>
      </w:r>
      <w:r w:rsidR="008916F8">
        <w:rPr>
          <w:rFonts w:ascii="Palatino Linotype" w:hAnsi="Palatino Linotype" w:cs="Arial"/>
        </w:rPr>
        <w:t xml:space="preserve">do los archivos correspondientes, así como </w:t>
      </w:r>
      <w:r w:rsidR="00354C54">
        <w:rPr>
          <w:rFonts w:ascii="Palatino Linotype" w:hAnsi="Palatino Linotype" w:cs="Arial"/>
        </w:rPr>
        <w:t>que estaba en el proceso de su creación; sin embargo ello se considera inexacto,</w:t>
      </w:r>
      <w:r w:rsidR="008916F8">
        <w:rPr>
          <w:rFonts w:ascii="Palatino Linotype" w:hAnsi="Palatino Linotype" w:cs="Arial"/>
        </w:rPr>
        <w:t xml:space="preserve"> pues por lo que hace a las dos primeras solicitudes, es notorio que la información que se requiere corresponde al año 2017</w:t>
      </w:r>
      <w:r w:rsidR="00990A59">
        <w:rPr>
          <w:rFonts w:ascii="Palatino Linotype" w:hAnsi="Palatino Linotype" w:cs="Arial"/>
        </w:rPr>
        <w:t>; por lo que si según lo analizado, de acuerdo con el</w:t>
      </w:r>
      <w:r w:rsidR="00990A59">
        <w:rPr>
          <w:rFonts w:ascii="Palatino Linotype" w:hAnsi="Palatino Linotype"/>
        </w:rPr>
        <w:t xml:space="preserve"> artículo </w:t>
      </w:r>
      <w:r w:rsidR="00990A59" w:rsidRPr="00067AE2">
        <w:rPr>
          <w:rFonts w:ascii="Palatino Linotype" w:eastAsia="Arial Unicode MS" w:hAnsi="Palatino Linotype" w:cs="Arial"/>
        </w:rPr>
        <w:t>350 del Código Financiero del Estado de México y Municipios</w:t>
      </w:r>
      <w:r w:rsidR="00990A59">
        <w:rPr>
          <w:rFonts w:ascii="Palatino Linotype" w:eastAsia="Arial Unicode MS" w:hAnsi="Palatino Linotype" w:cs="Arial"/>
        </w:rPr>
        <w:t>, la información que integra cada uno de los informes mensuales debe ser entregada al OSFEM dentro de los primero</w:t>
      </w:r>
      <w:r w:rsidR="00664A68">
        <w:rPr>
          <w:rFonts w:ascii="Palatino Linotype" w:eastAsia="Arial Unicode MS" w:hAnsi="Palatino Linotype" w:cs="Arial"/>
        </w:rPr>
        <w:t>s</w:t>
      </w:r>
      <w:r w:rsidR="00990A59">
        <w:rPr>
          <w:rFonts w:ascii="Palatino Linotype" w:eastAsia="Arial Unicode MS" w:hAnsi="Palatino Linotype" w:cs="Arial"/>
        </w:rPr>
        <w:t xml:space="preserve"> vein</w:t>
      </w:r>
      <w:r w:rsidR="00664A68">
        <w:rPr>
          <w:rFonts w:ascii="Palatino Linotype" w:eastAsia="Arial Unicode MS" w:hAnsi="Palatino Linotype" w:cs="Arial"/>
        </w:rPr>
        <w:t>te días hábiles siguientes al té</w:t>
      </w:r>
      <w:r w:rsidR="00990A59">
        <w:rPr>
          <w:rFonts w:ascii="Palatino Linotype" w:eastAsia="Arial Unicode MS" w:hAnsi="Palatino Linotype" w:cs="Arial"/>
        </w:rPr>
        <w:t xml:space="preserve">rmino del mes que corresponda es indudable que al día de la fecha de la presentación de la solicitud y más aún al día de la fecha de emisión de la presente resolución, el Sujeto Obligado debe tener en los archivos del área responsable de integrar dichos informes, la información materia de las solicitudes de información, pues ya debió ser generada e integrada con las especiaciones establecidas en los </w:t>
      </w:r>
      <w:r w:rsidR="00990A59">
        <w:rPr>
          <w:rFonts w:ascii="Palatino Linotype" w:eastAsia="Arial Unicode MS" w:hAnsi="Palatino Linotype" w:cs="Arial"/>
          <w:i/>
        </w:rPr>
        <w:t>Lineamientos para la integración del informe mensual 2017</w:t>
      </w:r>
      <w:r w:rsidR="00990A59">
        <w:rPr>
          <w:rFonts w:ascii="Palatino Linotype" w:eastAsia="Arial Unicode MS" w:hAnsi="Palatino Linotype" w:cs="Arial"/>
        </w:rPr>
        <w:t>, emitidos por el Órgano Superior de Fiscalización del Estado de México.</w:t>
      </w:r>
    </w:p>
    <w:p w14:paraId="1BA5CE94" w14:textId="09FDD668" w:rsidR="00354C54" w:rsidRDefault="00354C54" w:rsidP="001949E9">
      <w:pPr>
        <w:spacing w:before="240" w:after="240" w:line="360" w:lineRule="auto"/>
        <w:ind w:right="49"/>
        <w:jc w:val="both"/>
        <w:rPr>
          <w:rFonts w:ascii="Palatino Linotype" w:eastAsia="Arial Unicode MS" w:hAnsi="Palatino Linotype" w:cs="Arial"/>
        </w:rPr>
      </w:pPr>
      <w:r>
        <w:rPr>
          <w:rFonts w:ascii="Palatino Linotype" w:eastAsia="Arial Unicode MS" w:hAnsi="Palatino Linotype" w:cs="Arial"/>
        </w:rPr>
        <w:t xml:space="preserve">Y lo mismo ocurre para la información respecto de la remodelación del auditorio municipal, dado que de la consulta realizada al portal de información pública de oficio mexiquense (ipomex) del Sujeto Obligado, se desprende que dicha obra deriva de un proceso de licitación pública en materia de obra pública del ejercicio </w:t>
      </w:r>
      <w:r>
        <w:rPr>
          <w:rFonts w:ascii="Palatino Linotype" w:eastAsia="Arial Unicode MS" w:hAnsi="Palatino Linotype" w:cs="Arial"/>
        </w:rPr>
        <w:lastRenderedPageBreak/>
        <w:t>fiscal 2017</w:t>
      </w:r>
      <w:r w:rsidR="00BF23BF">
        <w:rPr>
          <w:rStyle w:val="Refdenotaalpie"/>
          <w:rFonts w:ascii="Palatino Linotype" w:eastAsia="Arial Unicode MS" w:hAnsi="Palatino Linotype" w:cs="Arial"/>
        </w:rPr>
        <w:footnoteReference w:id="5"/>
      </w:r>
      <w:r>
        <w:rPr>
          <w:rFonts w:ascii="Palatino Linotype" w:eastAsia="Arial Unicode MS" w:hAnsi="Palatino Linotype" w:cs="Arial"/>
        </w:rPr>
        <w:t>, luego entonces, lo relativo a la erogación de gastos por dicha obra debió haberse reflejado en los informes mensuales de ese mismo</w:t>
      </w:r>
      <w:r w:rsidR="00BF23BF">
        <w:rPr>
          <w:rFonts w:ascii="Palatino Linotype" w:eastAsia="Arial Unicode MS" w:hAnsi="Palatino Linotype" w:cs="Arial"/>
        </w:rPr>
        <w:t xml:space="preserve"> año, los cuales como se ha explicado ya tuvieron que haber sido generados y por tanto deben obrar en los archivos del Sujeto Obligado.</w:t>
      </w:r>
    </w:p>
    <w:p w14:paraId="29B12AE9" w14:textId="0D9AC135" w:rsidR="001949E9" w:rsidRPr="00623957" w:rsidRDefault="00BF23BF" w:rsidP="001949E9">
      <w:pPr>
        <w:spacing w:before="240" w:after="240" w:line="360" w:lineRule="auto"/>
        <w:ind w:right="49"/>
        <w:jc w:val="both"/>
        <w:rPr>
          <w:rFonts w:ascii="Palatino Linotype" w:hAnsi="Palatino Linotype" w:cs="Arial"/>
        </w:rPr>
      </w:pPr>
      <w:r>
        <w:rPr>
          <w:rFonts w:ascii="Palatino Linotype" w:eastAsia="Arial Unicode MS" w:hAnsi="Palatino Linotype" w:cs="Arial"/>
        </w:rPr>
        <w:t>En tal tesitura, la información materia de las solicitudes de información que nos ocupan</w:t>
      </w:r>
      <w:r>
        <w:rPr>
          <w:rFonts w:ascii="Palatino Linotype" w:hAnsi="Palatino Linotype" w:cs="Arial"/>
        </w:rPr>
        <w:t xml:space="preserve">, </w:t>
      </w:r>
      <w:r w:rsidR="001949E9">
        <w:rPr>
          <w:rFonts w:ascii="Palatino Linotype" w:hAnsi="Palatino Linotype" w:cs="Arial"/>
        </w:rPr>
        <w:t>es información con la que debe contar el Sujeto Obligado derivado del ejercicio de las atribuciones, funciones y obligaciones que se establecen en las disposiciones ya analizadas y que en consecuencia le reviste el carácter de información pública de conformidad a lo que establecen los artículos 4, párrafos segundo y tercero y 12, segundo párrafo</w:t>
      </w:r>
      <w:r w:rsidR="001949E9" w:rsidRPr="00623957">
        <w:rPr>
          <w:rFonts w:ascii="Palatino Linotype" w:hAnsi="Palatino Linotype" w:cs="Arial"/>
        </w:rPr>
        <w:t xml:space="preserve"> de la Ley de Transparencia</w:t>
      </w:r>
      <w:r w:rsidR="001949E9">
        <w:rPr>
          <w:rFonts w:ascii="Palatino Linotype" w:hAnsi="Palatino Linotype" w:cs="Arial"/>
        </w:rPr>
        <w:t xml:space="preserve"> y Acceso a la Información Pública del Estado de México y Municipios, los</w:t>
      </w:r>
      <w:r w:rsidR="001949E9" w:rsidRPr="00623957">
        <w:rPr>
          <w:rFonts w:ascii="Palatino Linotype" w:hAnsi="Palatino Linotype" w:cs="Arial"/>
        </w:rPr>
        <w:t xml:space="preserve"> cual</w:t>
      </w:r>
      <w:r w:rsidR="001949E9">
        <w:rPr>
          <w:rFonts w:ascii="Palatino Linotype" w:hAnsi="Palatino Linotype" w:cs="Arial"/>
        </w:rPr>
        <w:t>es</w:t>
      </w:r>
      <w:r w:rsidR="001949E9" w:rsidRPr="00623957">
        <w:rPr>
          <w:rFonts w:ascii="Palatino Linotype" w:hAnsi="Palatino Linotype" w:cs="Arial"/>
        </w:rPr>
        <w:t xml:space="preserve"> para mayor referencia se transcribe</w:t>
      </w:r>
      <w:r w:rsidR="001949E9">
        <w:rPr>
          <w:rFonts w:ascii="Palatino Linotype" w:hAnsi="Palatino Linotype" w:cs="Arial"/>
        </w:rPr>
        <w:t>n</w:t>
      </w:r>
      <w:r w:rsidR="001949E9" w:rsidRPr="00623957">
        <w:rPr>
          <w:rFonts w:ascii="Palatino Linotype" w:hAnsi="Palatino Linotype" w:cs="Arial"/>
        </w:rPr>
        <w:t xml:space="preserve"> a continuación:</w:t>
      </w:r>
    </w:p>
    <w:p w14:paraId="0CC7EA2A" w14:textId="77777777" w:rsidR="001949E9" w:rsidRPr="003A5BBD" w:rsidRDefault="001949E9" w:rsidP="00BF23BF">
      <w:pPr>
        <w:spacing w:before="240" w:after="240"/>
        <w:ind w:left="851" w:right="900"/>
        <w:jc w:val="both"/>
        <w:rPr>
          <w:rFonts w:ascii="Palatino Linotype" w:hAnsi="Palatino Linotype"/>
          <w:i/>
          <w:sz w:val="22"/>
          <w:szCs w:val="22"/>
        </w:rPr>
      </w:pPr>
      <w:r w:rsidRPr="003A5BBD">
        <w:rPr>
          <w:rFonts w:ascii="Palatino Linotype" w:hAnsi="Palatino Linotype"/>
          <w:i/>
          <w:sz w:val="22"/>
          <w:szCs w:val="22"/>
        </w:rPr>
        <w:t>“</w:t>
      </w:r>
      <w:r w:rsidRPr="003A5BBD">
        <w:rPr>
          <w:rFonts w:ascii="Palatino Linotype" w:hAnsi="Palatino Linotype"/>
          <w:b/>
          <w:i/>
          <w:sz w:val="22"/>
          <w:szCs w:val="22"/>
        </w:rPr>
        <w:t>Artículo 4.</w:t>
      </w:r>
      <w:r w:rsidRPr="003A5BBD">
        <w:rPr>
          <w:rFonts w:ascii="Palatino Linotype" w:hAnsi="Palatino Linotype"/>
          <w:i/>
          <w:sz w:val="22"/>
          <w:szCs w:val="22"/>
        </w:rPr>
        <w:t xml:space="preserve"> (…)</w:t>
      </w:r>
    </w:p>
    <w:p w14:paraId="6C6F111A" w14:textId="77777777" w:rsidR="001949E9" w:rsidRPr="003A5BBD" w:rsidRDefault="001949E9" w:rsidP="00BF23BF">
      <w:pPr>
        <w:spacing w:before="240" w:after="240"/>
        <w:ind w:left="851" w:right="900"/>
        <w:jc w:val="both"/>
        <w:rPr>
          <w:rFonts w:ascii="Palatino Linotype" w:hAnsi="Palatino Linotype"/>
          <w:i/>
          <w:sz w:val="22"/>
          <w:szCs w:val="22"/>
        </w:rPr>
      </w:pPr>
      <w:r w:rsidRPr="003A5BBD">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BF011B5" w14:textId="77777777" w:rsidR="001949E9" w:rsidRPr="003A5BBD" w:rsidRDefault="001949E9" w:rsidP="00BF23BF">
      <w:pPr>
        <w:spacing w:before="240" w:after="240"/>
        <w:ind w:left="851" w:right="900"/>
        <w:jc w:val="both"/>
        <w:rPr>
          <w:rFonts w:ascii="Palatino Linotype" w:hAnsi="Palatino Linotype"/>
          <w:i/>
          <w:sz w:val="22"/>
          <w:szCs w:val="22"/>
        </w:rPr>
      </w:pPr>
      <w:r w:rsidRPr="003A5BBD">
        <w:rPr>
          <w:rFonts w:ascii="Palatino Linotype" w:hAnsi="Palatino Linotype"/>
          <w:b/>
          <w:i/>
          <w:sz w:val="22"/>
          <w:szCs w:val="22"/>
        </w:rPr>
        <w:t xml:space="preserve">Los sujetos obligados deben poner en práctica, políticas y programas de acceso a la información que se apeguen a criterios de publicidad, </w:t>
      </w:r>
      <w:r w:rsidRPr="003A5BBD">
        <w:rPr>
          <w:rFonts w:ascii="Palatino Linotype" w:hAnsi="Palatino Linotype"/>
          <w:b/>
          <w:i/>
          <w:sz w:val="22"/>
          <w:szCs w:val="22"/>
        </w:rPr>
        <w:lastRenderedPageBreak/>
        <w:t>veracidad, oportunidad, precisión y suficiencia en beneficio de los solicitantes</w:t>
      </w:r>
      <w:r w:rsidRPr="003A5BBD">
        <w:rPr>
          <w:rFonts w:ascii="Palatino Linotype" w:hAnsi="Palatino Linotype"/>
          <w:i/>
          <w:sz w:val="22"/>
          <w:szCs w:val="22"/>
          <w:u w:val="single"/>
        </w:rPr>
        <w:t>.</w:t>
      </w:r>
      <w:r w:rsidRPr="003A5BBD">
        <w:rPr>
          <w:rFonts w:ascii="Palatino Linotype" w:hAnsi="Palatino Linotype"/>
          <w:i/>
          <w:sz w:val="22"/>
          <w:szCs w:val="22"/>
        </w:rPr>
        <w:t>”</w:t>
      </w:r>
    </w:p>
    <w:p w14:paraId="43E44DB5" w14:textId="77777777" w:rsidR="001949E9" w:rsidRPr="003A5BBD" w:rsidRDefault="001949E9" w:rsidP="00BF23BF">
      <w:pPr>
        <w:spacing w:before="240" w:after="240"/>
        <w:ind w:left="851" w:right="900"/>
        <w:jc w:val="both"/>
        <w:rPr>
          <w:rFonts w:ascii="Palatino Linotype" w:hAnsi="Palatino Linotype"/>
          <w:i/>
          <w:sz w:val="22"/>
          <w:szCs w:val="22"/>
        </w:rPr>
      </w:pPr>
      <w:r w:rsidRPr="003A5BBD">
        <w:rPr>
          <w:rFonts w:ascii="Palatino Linotype" w:hAnsi="Palatino Linotype"/>
          <w:i/>
          <w:sz w:val="22"/>
          <w:szCs w:val="22"/>
        </w:rPr>
        <w:t>“</w:t>
      </w:r>
      <w:r w:rsidRPr="003A5BBD">
        <w:rPr>
          <w:rFonts w:ascii="Palatino Linotype" w:hAnsi="Palatino Linotype"/>
          <w:b/>
          <w:i/>
          <w:sz w:val="22"/>
          <w:szCs w:val="22"/>
        </w:rPr>
        <w:t>Artículo 12.</w:t>
      </w:r>
      <w:r w:rsidRPr="003A5BBD">
        <w:rPr>
          <w:rFonts w:ascii="Palatino Linotype" w:hAnsi="Palatino Linotype"/>
          <w:i/>
          <w:sz w:val="22"/>
          <w:szCs w:val="22"/>
        </w:rPr>
        <w:t xml:space="preserve"> (…)</w:t>
      </w:r>
    </w:p>
    <w:p w14:paraId="2885E376" w14:textId="77777777" w:rsidR="001949E9" w:rsidRPr="003A5BBD" w:rsidRDefault="001949E9" w:rsidP="00BF23BF">
      <w:pPr>
        <w:spacing w:before="240" w:after="240"/>
        <w:ind w:left="851" w:right="900"/>
        <w:jc w:val="both"/>
        <w:rPr>
          <w:rFonts w:ascii="Palatino Linotype" w:hAnsi="Palatino Linotype" w:cs="Arial"/>
          <w:i/>
          <w:sz w:val="22"/>
          <w:szCs w:val="22"/>
        </w:rPr>
      </w:pPr>
      <w:r w:rsidRPr="003A5BBD">
        <w:rPr>
          <w:rFonts w:ascii="Palatino Linotype" w:hAnsi="Palatino Linotype"/>
          <w:b/>
          <w:i/>
          <w:sz w:val="22"/>
          <w:szCs w:val="22"/>
        </w:rPr>
        <w:t>Los sujetos obligados sólo proporcionarán la información pública que se les requiera y que obre en sus archivos y en el estado en que ésta se encuentre</w:t>
      </w:r>
      <w:r w:rsidRPr="003A5BBD">
        <w:rPr>
          <w:rFonts w:ascii="Palatino Linotype" w:hAnsi="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3373DD04" w14:textId="77777777" w:rsidR="001949E9" w:rsidRDefault="001949E9" w:rsidP="001949E9">
      <w:pPr>
        <w:spacing w:before="240" w:line="360" w:lineRule="auto"/>
        <w:ind w:right="49"/>
        <w:jc w:val="both"/>
        <w:rPr>
          <w:rFonts w:ascii="Palatino Linotype" w:hAnsi="Palatino Linotype" w:cs="Arial"/>
        </w:rPr>
      </w:pPr>
      <w:r w:rsidRPr="00623957">
        <w:rPr>
          <w:rFonts w:ascii="Palatino Linotype" w:hAnsi="Palatino Linotype" w:cs="Arial"/>
        </w:rPr>
        <w:t>De los preceptos citados se advierte que la información que sea generada, administrada o se encuentre en posesión de los Sujetos Obligados en el ejercicio de sus atribuciones deberá ser accesible a cualquier persona de manera permanente, para lo cual los Sujeto</w:t>
      </w:r>
      <w:r>
        <w:rPr>
          <w:rFonts w:ascii="Palatino Linotype" w:hAnsi="Palatino Linotype" w:cs="Arial"/>
        </w:rPr>
        <w:t>s</w:t>
      </w:r>
      <w:r w:rsidRPr="00623957">
        <w:rPr>
          <w:rFonts w:ascii="Palatino Linotype" w:hAnsi="Palatino Linotype" w:cs="Arial"/>
        </w:rPr>
        <w:t xml:space="preserve"> Obligados deberán actuar en lo posible en beneficio de los solicitantes poniendo en práctica políticas y programas de acceso a la información que vayan apegados a criterios de publicidad, veracidad oportunidad, precisión y suficiencia</w:t>
      </w:r>
      <w:r>
        <w:rPr>
          <w:rFonts w:ascii="Palatino Linotype" w:hAnsi="Palatino Linotype" w:cs="Arial"/>
        </w:rPr>
        <w:t>; precisando que só</w:t>
      </w:r>
      <w:r w:rsidRPr="00623957">
        <w:rPr>
          <w:rFonts w:ascii="Palatino Linotype" w:hAnsi="Palatino Linotype" w:cs="Arial"/>
        </w:rPr>
        <w:t xml:space="preserve">lo otorgaran la información que se les requiera y que obre en sus archivos, lo que indica que no están obligados a procesar, investigar, resumir o hacer cálculos para atender las solicitudes de </w:t>
      </w:r>
      <w:r>
        <w:rPr>
          <w:rFonts w:ascii="Palatino Linotype" w:hAnsi="Palatino Linotype" w:cs="Arial"/>
        </w:rPr>
        <w:t>acceso a la información pública, situación que deberá ocurrir en el presente caso, es decir que el Sujeto Obligado deberá hacer entrega de los documentos de los que se desprenda la información solicitada por el recurrente en términos de lo que ha sido analizado en la presente resolución.</w:t>
      </w:r>
    </w:p>
    <w:p w14:paraId="7EF2B04D" w14:textId="7F9AC9D2" w:rsidR="001949E9" w:rsidRDefault="001949E9" w:rsidP="001949E9">
      <w:pPr>
        <w:spacing w:before="240" w:after="240" w:line="360" w:lineRule="auto"/>
        <w:jc w:val="both"/>
        <w:rPr>
          <w:rFonts w:ascii="Palatino Linotype" w:hAnsi="Palatino Linotype" w:cs="Arial"/>
        </w:rPr>
      </w:pPr>
      <w:r>
        <w:rPr>
          <w:rFonts w:ascii="Palatino Linotype" w:hAnsi="Palatino Linotype" w:cs="Arial"/>
        </w:rPr>
        <w:t>Además</w:t>
      </w:r>
      <w:r w:rsidR="00BF23BF">
        <w:rPr>
          <w:rFonts w:ascii="Palatino Linotype" w:hAnsi="Palatino Linotype" w:cs="Arial"/>
        </w:rPr>
        <w:t>, lo anterior es así</w:t>
      </w:r>
      <w:r>
        <w:rPr>
          <w:rFonts w:ascii="Palatino Linotype" w:hAnsi="Palatino Linotype" w:cs="Arial"/>
        </w:rPr>
        <w:t xml:space="preserve"> considerando que de conformidad a la Ley de Transparencia y Acceso a la</w:t>
      </w:r>
      <w:r w:rsidR="00BF23BF">
        <w:rPr>
          <w:rFonts w:ascii="Palatino Linotype" w:hAnsi="Palatino Linotype" w:cs="Arial"/>
        </w:rPr>
        <w:t xml:space="preserve"> Información Pública del Estado, </w:t>
      </w:r>
      <w:r>
        <w:rPr>
          <w:rFonts w:ascii="Palatino Linotype" w:hAnsi="Palatino Linotype" w:cs="Arial"/>
        </w:rPr>
        <w:t xml:space="preserve">si la información se refiere a las facultades, competencias y funciones de los Sujetos Obligados, ésta debe </w:t>
      </w:r>
      <w:r>
        <w:rPr>
          <w:rFonts w:ascii="Palatino Linotype" w:hAnsi="Palatino Linotype" w:cs="Arial"/>
        </w:rPr>
        <w:lastRenderedPageBreak/>
        <w:t>de obrar dentro de sus archivos ya que cuentan con la obligación de documentar los actos que deriven de las mismas, como se transcribe a continuación:</w:t>
      </w:r>
    </w:p>
    <w:p w14:paraId="3F626F9C" w14:textId="77777777" w:rsidR="001949E9" w:rsidRPr="008206BF" w:rsidRDefault="001949E9" w:rsidP="00BF23BF">
      <w:pPr>
        <w:pStyle w:val="paragraph"/>
        <w:spacing w:before="0" w:beforeAutospacing="0" w:after="0" w:afterAutospacing="0"/>
        <w:ind w:left="851" w:right="900"/>
        <w:jc w:val="both"/>
        <w:textAlignment w:val="baseline"/>
        <w:rPr>
          <w:rStyle w:val="normaltextrun"/>
          <w:rFonts w:ascii="Palatino Linotype" w:hAnsi="Palatino Linotype" w:cs="Segoe UI"/>
          <w:b/>
          <w:bCs/>
          <w:i/>
          <w:iCs/>
          <w:sz w:val="22"/>
          <w:szCs w:val="22"/>
        </w:rPr>
      </w:pPr>
      <w:r>
        <w:rPr>
          <w:rStyle w:val="normaltextrun"/>
          <w:rFonts w:ascii="Palatino Linotype" w:hAnsi="Palatino Linotype" w:cs="Segoe UI"/>
          <w:b/>
          <w:bCs/>
          <w:i/>
          <w:iCs/>
          <w:sz w:val="22"/>
          <w:szCs w:val="22"/>
        </w:rPr>
        <w:t>“</w:t>
      </w:r>
      <w:r w:rsidRPr="008206BF">
        <w:rPr>
          <w:rStyle w:val="normaltextrun"/>
          <w:rFonts w:ascii="Palatino Linotype" w:hAnsi="Palatino Linotype" w:cs="Segoe UI"/>
          <w:b/>
          <w:bCs/>
          <w:i/>
          <w:iCs/>
          <w:sz w:val="22"/>
          <w:szCs w:val="22"/>
        </w:rPr>
        <w:t xml:space="preserve">Artículo 18. </w:t>
      </w:r>
      <w:r w:rsidRPr="008206BF">
        <w:rPr>
          <w:rStyle w:val="normaltextrun"/>
          <w:rFonts w:ascii="Palatino Linotype" w:hAnsi="Palatino Linotype" w:cs="Segoe UI"/>
          <w:bCs/>
          <w:i/>
          <w:iCs/>
          <w:sz w:val="22"/>
          <w:szCs w:val="22"/>
        </w:rPr>
        <w:t>Los sujetos obligados deberán documentar todo acto que derive del ejercicio de sus facultades, competencias o funciones, considerando desde su origen la eventual publicidad y reutilización de la información que generen.</w:t>
      </w:r>
    </w:p>
    <w:p w14:paraId="3E609468" w14:textId="77777777" w:rsidR="001949E9" w:rsidRDefault="001949E9" w:rsidP="00BF23BF">
      <w:pPr>
        <w:pStyle w:val="paragraph"/>
        <w:spacing w:before="0" w:beforeAutospacing="0" w:after="0" w:afterAutospacing="0"/>
        <w:ind w:left="851" w:right="900"/>
        <w:jc w:val="both"/>
        <w:textAlignment w:val="baseline"/>
        <w:rPr>
          <w:rStyle w:val="normaltextrun"/>
          <w:rFonts w:ascii="Palatino Linotype" w:hAnsi="Palatino Linotype" w:cs="Segoe UI"/>
          <w:b/>
          <w:bCs/>
          <w:i/>
          <w:iCs/>
          <w:sz w:val="22"/>
          <w:szCs w:val="22"/>
        </w:rPr>
      </w:pPr>
    </w:p>
    <w:p w14:paraId="1A2A205E" w14:textId="77777777" w:rsidR="001949E9" w:rsidRPr="008206BF" w:rsidRDefault="001949E9" w:rsidP="00BF23BF">
      <w:pPr>
        <w:pStyle w:val="paragraph"/>
        <w:spacing w:before="0" w:beforeAutospacing="0" w:after="0" w:afterAutospacing="0"/>
        <w:ind w:left="851" w:right="900"/>
        <w:jc w:val="both"/>
        <w:textAlignment w:val="baseline"/>
        <w:rPr>
          <w:rStyle w:val="normaltextrun"/>
          <w:rFonts w:ascii="Palatino Linotype" w:hAnsi="Palatino Linotype" w:cs="Segoe UI"/>
          <w:bCs/>
          <w:i/>
          <w:iCs/>
          <w:sz w:val="22"/>
          <w:szCs w:val="22"/>
        </w:rPr>
      </w:pPr>
      <w:r w:rsidRPr="008206BF">
        <w:rPr>
          <w:rStyle w:val="normaltextrun"/>
          <w:rFonts w:ascii="Palatino Linotype" w:hAnsi="Palatino Linotype" w:cs="Segoe UI"/>
          <w:b/>
          <w:bCs/>
          <w:i/>
          <w:iCs/>
          <w:sz w:val="22"/>
          <w:szCs w:val="22"/>
        </w:rPr>
        <w:t xml:space="preserve">Artículo 19. </w:t>
      </w:r>
      <w:r w:rsidRPr="008206BF">
        <w:rPr>
          <w:rStyle w:val="normaltextrun"/>
          <w:rFonts w:ascii="Palatino Linotype" w:hAnsi="Palatino Linotype" w:cs="Segoe UI"/>
          <w:bCs/>
          <w:i/>
          <w:iCs/>
          <w:sz w:val="22"/>
          <w:szCs w:val="22"/>
        </w:rPr>
        <w:t>Se presume que la información debe existir si se refiere a las facultades, competencias y funciones que los ordenamientos jurídicos aplicables otorgan a los sujetos obligados.</w:t>
      </w:r>
    </w:p>
    <w:p w14:paraId="5D286DAB" w14:textId="77777777" w:rsidR="001949E9" w:rsidRPr="008206BF" w:rsidRDefault="001949E9" w:rsidP="00BF23BF">
      <w:pPr>
        <w:pStyle w:val="paragraph"/>
        <w:spacing w:before="0" w:beforeAutospacing="0" w:after="0" w:afterAutospacing="0"/>
        <w:ind w:left="851" w:right="900"/>
        <w:jc w:val="both"/>
        <w:textAlignment w:val="baseline"/>
        <w:rPr>
          <w:rStyle w:val="normaltextrun"/>
          <w:rFonts w:ascii="Palatino Linotype" w:hAnsi="Palatino Linotype" w:cs="Segoe UI"/>
          <w:bCs/>
          <w:i/>
          <w:iCs/>
          <w:sz w:val="22"/>
          <w:szCs w:val="22"/>
        </w:rPr>
      </w:pPr>
      <w:r w:rsidRPr="008206BF">
        <w:rPr>
          <w:rStyle w:val="normaltextrun"/>
          <w:rFonts w:ascii="Palatino Linotype" w:hAnsi="Palatino Linotype" w:cs="Segoe UI"/>
          <w:bCs/>
          <w:i/>
          <w:iCs/>
          <w:sz w:val="22"/>
          <w:szCs w:val="22"/>
        </w:rPr>
        <w:t>En los casos en que ciertas facultades, competencias o funciones no se hayan ejercido, se debe motivar la respuesta en función de las causas que motiven tal circunstancia.</w:t>
      </w:r>
    </w:p>
    <w:p w14:paraId="730429CF" w14:textId="77777777" w:rsidR="001949E9" w:rsidRPr="008206BF" w:rsidRDefault="001949E9" w:rsidP="00BF23BF">
      <w:pPr>
        <w:pStyle w:val="paragraph"/>
        <w:spacing w:before="0" w:beforeAutospacing="0" w:after="0" w:afterAutospacing="0"/>
        <w:ind w:left="851" w:right="900"/>
        <w:jc w:val="both"/>
        <w:textAlignment w:val="baseline"/>
        <w:rPr>
          <w:rStyle w:val="normaltextrun"/>
          <w:rFonts w:cs="Segoe UI"/>
          <w:bCs/>
          <w:i/>
          <w:iCs/>
          <w:sz w:val="22"/>
          <w:szCs w:val="22"/>
        </w:rPr>
      </w:pPr>
      <w:r w:rsidRPr="008206BF">
        <w:rPr>
          <w:rStyle w:val="normaltextrun"/>
          <w:rFonts w:ascii="Palatino Linotype" w:hAnsi="Palatino Linotype" w:cs="Segoe UI"/>
          <w:bCs/>
          <w:i/>
          <w:iCs/>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Style w:val="normaltextrun"/>
          <w:rFonts w:ascii="Palatino Linotype" w:hAnsi="Palatino Linotype" w:cs="Segoe UI"/>
          <w:bCs/>
          <w:i/>
          <w:iCs/>
          <w:sz w:val="22"/>
          <w:szCs w:val="22"/>
        </w:rPr>
        <w:t>”</w:t>
      </w:r>
    </w:p>
    <w:p w14:paraId="01C4F199" w14:textId="5F6A141A" w:rsidR="001949E9" w:rsidRDefault="001949E9" w:rsidP="001949E9">
      <w:pPr>
        <w:spacing w:before="240" w:after="240" w:line="360" w:lineRule="auto"/>
        <w:jc w:val="both"/>
        <w:rPr>
          <w:rFonts w:ascii="Palatino Linotype" w:hAnsi="Palatino Linotype" w:cs="Arial"/>
        </w:rPr>
      </w:pPr>
      <w:r>
        <w:rPr>
          <w:rFonts w:ascii="Palatino Linotype" w:hAnsi="Palatino Linotype" w:cs="Arial"/>
        </w:rPr>
        <w:t>Además</w:t>
      </w:r>
      <w:r w:rsidR="00BF23BF">
        <w:rPr>
          <w:rFonts w:ascii="Palatino Linotype" w:hAnsi="Palatino Linotype" w:cs="Arial"/>
        </w:rPr>
        <w:t xml:space="preserve"> de que</w:t>
      </w:r>
      <w:r>
        <w:rPr>
          <w:rFonts w:ascii="Palatino Linotype" w:hAnsi="Palatino Linotype" w:cs="Arial"/>
        </w:rPr>
        <w:t xml:space="preserve"> el mismo ordenamiento legal menciona que los Sujetos Obligado</w:t>
      </w:r>
      <w:r w:rsidR="00664A68">
        <w:rPr>
          <w:rFonts w:ascii="Palatino Linotype" w:hAnsi="Palatino Linotype" w:cs="Arial"/>
        </w:rPr>
        <w:t xml:space="preserve">s </w:t>
      </w:r>
      <w:r>
        <w:rPr>
          <w:rFonts w:ascii="Palatino Linotype" w:hAnsi="Palatino Linotype" w:cs="Arial"/>
        </w:rPr>
        <w:t>cuentan con la responsabilidad de poner a disposición de manera permanente y actualizada de forma sencilla, precisa y entendible, de acuerdo a sus facultades, atribuciones, funciones u objeto social la información señalada en el artículo 92,</w:t>
      </w:r>
      <w:r w:rsidR="00BF23BF">
        <w:rPr>
          <w:rFonts w:ascii="Palatino Linotype" w:hAnsi="Palatino Linotype" w:cs="Arial"/>
        </w:rPr>
        <w:t xml:space="preserve"> </w:t>
      </w:r>
      <w:r>
        <w:rPr>
          <w:rFonts w:ascii="Palatino Linotype" w:hAnsi="Palatino Linotype" w:cs="Arial"/>
        </w:rPr>
        <w:t>entre la cual se encuentran los informes que por disposición legal generen los Sujetos Obligados, como lo es el caso de la información materia de las solicitudes de información analizadas en la presente resolución; tal y como se lee enseguida:</w:t>
      </w:r>
    </w:p>
    <w:p w14:paraId="7B7536BF" w14:textId="77777777" w:rsidR="001949E9" w:rsidRPr="00C954CC" w:rsidRDefault="001949E9" w:rsidP="001949E9">
      <w:pPr>
        <w:pStyle w:val="paragraph"/>
        <w:spacing w:before="240" w:beforeAutospacing="0" w:after="0" w:afterAutospacing="0"/>
        <w:ind w:left="993" w:right="1041"/>
        <w:jc w:val="both"/>
        <w:textAlignment w:val="baseline"/>
        <w:rPr>
          <w:rStyle w:val="normaltextrun"/>
          <w:rFonts w:ascii="Palatino Linotype" w:hAnsi="Palatino Linotype" w:cs="Segoe UI"/>
          <w:b/>
          <w:bCs/>
          <w:i/>
          <w:iCs/>
          <w:sz w:val="22"/>
          <w:szCs w:val="22"/>
        </w:rPr>
      </w:pPr>
      <w:r w:rsidRPr="00C954CC">
        <w:rPr>
          <w:rStyle w:val="normaltextrun"/>
          <w:rFonts w:ascii="Palatino Linotype" w:hAnsi="Palatino Linotype" w:cs="Segoe UI"/>
          <w:b/>
          <w:bCs/>
          <w:i/>
          <w:iCs/>
          <w:sz w:val="22"/>
          <w:szCs w:val="22"/>
        </w:rPr>
        <w:t xml:space="preserve">“Artículo 92. </w:t>
      </w:r>
      <w:r w:rsidRPr="00C954CC">
        <w:rPr>
          <w:rFonts w:ascii="Palatino Linotype" w:hAnsi="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AC2381F" w14:textId="77777777" w:rsidR="001949E9" w:rsidRPr="00C954CC" w:rsidRDefault="001949E9" w:rsidP="001949E9">
      <w:pPr>
        <w:pStyle w:val="paragraph"/>
        <w:spacing w:before="240" w:beforeAutospacing="0" w:after="0" w:afterAutospacing="0"/>
        <w:ind w:left="993" w:right="1041"/>
        <w:jc w:val="both"/>
        <w:textAlignment w:val="baseline"/>
        <w:rPr>
          <w:rStyle w:val="normaltextrun"/>
          <w:rFonts w:ascii="Palatino Linotype" w:hAnsi="Palatino Linotype" w:cs="Segoe UI"/>
          <w:b/>
          <w:bCs/>
          <w:i/>
          <w:iCs/>
          <w:sz w:val="22"/>
          <w:szCs w:val="22"/>
        </w:rPr>
      </w:pPr>
      <w:r w:rsidRPr="00C954CC">
        <w:rPr>
          <w:rStyle w:val="normaltextrun"/>
          <w:rFonts w:ascii="Palatino Linotype" w:hAnsi="Palatino Linotype" w:cs="Segoe UI"/>
          <w:b/>
          <w:bCs/>
          <w:i/>
          <w:iCs/>
          <w:sz w:val="22"/>
          <w:szCs w:val="22"/>
        </w:rPr>
        <w:t>(…)</w:t>
      </w:r>
    </w:p>
    <w:p w14:paraId="67EFDC0B" w14:textId="77777777" w:rsidR="001949E9" w:rsidRPr="00C954CC" w:rsidRDefault="001949E9" w:rsidP="001949E9">
      <w:pPr>
        <w:pStyle w:val="paragraph"/>
        <w:spacing w:before="240" w:beforeAutospacing="0" w:after="0" w:afterAutospacing="0"/>
        <w:ind w:left="993" w:right="1041"/>
        <w:jc w:val="both"/>
        <w:textAlignment w:val="baseline"/>
        <w:rPr>
          <w:rFonts w:ascii="Palatino Linotype" w:hAnsi="Palatino Linotype" w:cs="Segoe UI"/>
          <w:bCs/>
          <w:i/>
          <w:iCs/>
          <w:sz w:val="22"/>
          <w:szCs w:val="22"/>
        </w:rPr>
      </w:pPr>
      <w:r w:rsidRPr="00C954CC">
        <w:rPr>
          <w:rStyle w:val="normaltextrun"/>
          <w:rFonts w:ascii="Palatino Linotype" w:hAnsi="Palatino Linotype" w:cs="Segoe UI"/>
          <w:b/>
          <w:bCs/>
          <w:i/>
          <w:iCs/>
          <w:sz w:val="22"/>
          <w:szCs w:val="22"/>
        </w:rPr>
        <w:lastRenderedPageBreak/>
        <w:t xml:space="preserve">XXXIII. </w:t>
      </w:r>
      <w:r w:rsidRPr="00C954CC">
        <w:rPr>
          <w:rStyle w:val="normaltextrun"/>
          <w:rFonts w:ascii="Palatino Linotype" w:hAnsi="Palatino Linotype" w:cs="Segoe UI"/>
          <w:bCs/>
          <w:i/>
          <w:iCs/>
          <w:sz w:val="22"/>
          <w:szCs w:val="22"/>
        </w:rPr>
        <w:t>Los informes que por disposición legal generen los sujetos obligados;…”</w:t>
      </w:r>
    </w:p>
    <w:p w14:paraId="20175728" w14:textId="77777777" w:rsidR="00CB14DC" w:rsidRPr="00B15B49" w:rsidRDefault="00CB14DC" w:rsidP="00CB14DC">
      <w:pPr>
        <w:spacing w:before="240" w:after="240" w:line="360" w:lineRule="auto"/>
        <w:jc w:val="both"/>
        <w:rPr>
          <w:rFonts w:ascii="Palatino Linotype" w:hAnsi="Palatino Linotype"/>
        </w:rPr>
      </w:pPr>
      <w:r w:rsidRPr="00B15B49">
        <w:rPr>
          <w:rFonts w:ascii="Palatino Linotype" w:hAnsi="Palatino Linotype"/>
          <w:b/>
        </w:rPr>
        <w:t xml:space="preserve">Quinto. Versión Pública. </w:t>
      </w:r>
      <w:r w:rsidRPr="00B15B49">
        <w:rPr>
          <w:rFonts w:ascii="Palatino Linotype" w:hAnsi="Palatino Linotype"/>
        </w:rPr>
        <w:t xml:space="preserve">Finalmente para la entrega de los documentos para dar a conocer a la parte recurrente; en razón de que el derecho de acceso a la información pública no es absoluto, </w:t>
      </w:r>
      <w:r w:rsidRPr="00B15B49">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sidRPr="00B15B49">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3A776835" w14:textId="77777777" w:rsidR="00CB14DC" w:rsidRPr="00B15B49" w:rsidRDefault="00CB14DC" w:rsidP="00CB14DC">
      <w:pPr>
        <w:autoSpaceDE w:val="0"/>
        <w:autoSpaceDN w:val="0"/>
        <w:adjustRightInd w:val="0"/>
        <w:spacing w:before="240" w:after="240" w:line="360" w:lineRule="auto"/>
        <w:ind w:right="50"/>
        <w:jc w:val="both"/>
        <w:rPr>
          <w:rFonts w:ascii="Palatino Linotype" w:hAnsi="Palatino Linotype" w:cs="Arial"/>
        </w:rPr>
      </w:pPr>
      <w:r w:rsidRPr="00B15B49">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11E58875" w14:textId="77777777" w:rsidR="00CB14DC" w:rsidRPr="00B15B49" w:rsidRDefault="00CB14DC" w:rsidP="00CB14DC">
      <w:pPr>
        <w:autoSpaceDE w:val="0"/>
        <w:autoSpaceDN w:val="0"/>
        <w:adjustRightInd w:val="0"/>
        <w:ind w:left="993" w:right="1041"/>
        <w:jc w:val="both"/>
        <w:rPr>
          <w:rFonts w:ascii="Palatino Linotype" w:hAnsi="Palatino Linotype" w:cs="Arial"/>
          <w:b/>
          <w:i/>
          <w:sz w:val="22"/>
          <w:szCs w:val="22"/>
        </w:rPr>
      </w:pPr>
      <w:r w:rsidRPr="00B15B49">
        <w:rPr>
          <w:rFonts w:ascii="Palatino Linotype" w:hAnsi="Palatino Linotype" w:cs="Arial"/>
          <w:b/>
          <w:i/>
          <w:sz w:val="22"/>
          <w:szCs w:val="22"/>
        </w:rPr>
        <w:t xml:space="preserve"> “Artículo 3. Para los efectos de la presente Ley se entenderá por:</w:t>
      </w:r>
    </w:p>
    <w:p w14:paraId="2DB0A3C2" w14:textId="77777777" w:rsidR="00CB14DC" w:rsidRPr="00B15B49" w:rsidRDefault="00CB14DC" w:rsidP="00CB14DC">
      <w:pPr>
        <w:autoSpaceDE w:val="0"/>
        <w:autoSpaceDN w:val="0"/>
        <w:adjustRightInd w:val="0"/>
        <w:ind w:left="993" w:right="1041"/>
        <w:jc w:val="both"/>
        <w:rPr>
          <w:rFonts w:ascii="Palatino Linotype" w:hAnsi="Palatino Linotype" w:cs="Arial"/>
          <w:i/>
          <w:sz w:val="22"/>
          <w:szCs w:val="22"/>
        </w:rPr>
      </w:pPr>
      <w:r w:rsidRPr="00B15B49">
        <w:rPr>
          <w:rFonts w:ascii="Palatino Linotype" w:hAnsi="Palatino Linotype" w:cs="Arial"/>
          <w:b/>
          <w:i/>
          <w:sz w:val="22"/>
          <w:szCs w:val="22"/>
        </w:rPr>
        <w:t>IX. Datos personales:</w:t>
      </w:r>
      <w:r w:rsidRPr="00B15B49">
        <w:rPr>
          <w:rFonts w:ascii="Palatino Linotype" w:hAnsi="Palatino Linotype" w:cs="Arial"/>
          <w:i/>
          <w:sz w:val="22"/>
          <w:szCs w:val="22"/>
        </w:rPr>
        <w:t xml:space="preserve"> </w:t>
      </w:r>
      <w:r w:rsidRPr="00B15B49">
        <w:rPr>
          <w:rFonts w:ascii="Palatino Linotype" w:hAnsi="Palatino Linotype" w:cs="Arial"/>
          <w:b/>
          <w:i/>
          <w:sz w:val="22"/>
          <w:szCs w:val="22"/>
        </w:rPr>
        <w:t>La información concerniente a una persona, identificada o identificable</w:t>
      </w:r>
      <w:r w:rsidRPr="00B15B49">
        <w:rPr>
          <w:rFonts w:ascii="Palatino Linotype" w:hAnsi="Palatino Linotype" w:cs="Arial"/>
          <w:i/>
          <w:sz w:val="22"/>
          <w:szCs w:val="22"/>
        </w:rPr>
        <w:t xml:space="preserve"> según lo dispuesto por la Ley de Protección de Datos Personales del Estado de México;</w:t>
      </w:r>
    </w:p>
    <w:p w14:paraId="6C87063E" w14:textId="77777777" w:rsidR="00CB14DC" w:rsidRPr="00B15B49" w:rsidRDefault="00CB14DC" w:rsidP="00CB14DC">
      <w:pPr>
        <w:autoSpaceDE w:val="0"/>
        <w:autoSpaceDN w:val="0"/>
        <w:adjustRightInd w:val="0"/>
        <w:ind w:left="993" w:right="1041"/>
        <w:jc w:val="both"/>
        <w:rPr>
          <w:rFonts w:ascii="Palatino Linotype" w:hAnsi="Palatino Linotype" w:cs="Arial"/>
          <w:i/>
          <w:sz w:val="22"/>
          <w:szCs w:val="22"/>
        </w:rPr>
      </w:pPr>
      <w:r w:rsidRPr="00B15B49">
        <w:rPr>
          <w:rFonts w:ascii="Palatino Linotype" w:hAnsi="Palatino Linotype" w:cs="Arial"/>
          <w:b/>
          <w:i/>
          <w:sz w:val="22"/>
          <w:szCs w:val="22"/>
        </w:rPr>
        <w:t>XX. Información clasificada:</w:t>
      </w:r>
      <w:r w:rsidRPr="00B15B49">
        <w:rPr>
          <w:rFonts w:ascii="Palatino Linotype" w:hAnsi="Palatino Linotype" w:cs="Arial"/>
          <w:i/>
          <w:sz w:val="22"/>
          <w:szCs w:val="22"/>
        </w:rPr>
        <w:t xml:space="preserve"> Aquella considerada por la presente Ley como reservada o confidencial;</w:t>
      </w:r>
    </w:p>
    <w:p w14:paraId="13075E47" w14:textId="77777777" w:rsidR="00CB14DC" w:rsidRPr="00B15B49" w:rsidRDefault="00CB14DC" w:rsidP="00CB14DC">
      <w:pPr>
        <w:autoSpaceDE w:val="0"/>
        <w:autoSpaceDN w:val="0"/>
        <w:adjustRightInd w:val="0"/>
        <w:ind w:left="993" w:right="1041"/>
        <w:jc w:val="both"/>
        <w:rPr>
          <w:rFonts w:ascii="Palatino Linotype" w:hAnsi="Palatino Linotype"/>
          <w:i/>
          <w:sz w:val="22"/>
          <w:szCs w:val="22"/>
        </w:rPr>
      </w:pPr>
      <w:r w:rsidRPr="00B15B49">
        <w:rPr>
          <w:rFonts w:ascii="Palatino Linotype" w:hAnsi="Palatino Linotype"/>
          <w:b/>
          <w:i/>
          <w:sz w:val="22"/>
          <w:szCs w:val="22"/>
        </w:rPr>
        <w:t>XXXII. Protección de Datos Personales:</w:t>
      </w:r>
      <w:r w:rsidRPr="00B15B49">
        <w:rPr>
          <w:rFonts w:ascii="Palatino Linotype" w:hAnsi="Palatino Linotype"/>
          <w:i/>
          <w:sz w:val="22"/>
          <w:szCs w:val="22"/>
        </w:rPr>
        <w:t xml:space="preserve"> Derecho humano que tutela la privacidad de datos personales en poder de los sujetos obligados y sujetos particulares;</w:t>
      </w:r>
    </w:p>
    <w:p w14:paraId="1CB8970C" w14:textId="77777777" w:rsidR="00CB14DC" w:rsidRPr="00B15B49" w:rsidRDefault="00CB14DC" w:rsidP="00CB14DC">
      <w:pPr>
        <w:autoSpaceDE w:val="0"/>
        <w:autoSpaceDN w:val="0"/>
        <w:adjustRightInd w:val="0"/>
        <w:ind w:left="993" w:right="1041"/>
        <w:jc w:val="both"/>
        <w:rPr>
          <w:rFonts w:ascii="Palatino Linotype" w:hAnsi="Palatino Linotype" w:cs="Arial"/>
          <w:i/>
          <w:sz w:val="22"/>
          <w:szCs w:val="22"/>
        </w:rPr>
      </w:pPr>
      <w:r w:rsidRPr="00B15B49">
        <w:rPr>
          <w:rFonts w:ascii="Palatino Linotype" w:hAnsi="Palatino Linotype" w:cs="Arial"/>
          <w:b/>
          <w:i/>
          <w:sz w:val="22"/>
          <w:szCs w:val="22"/>
        </w:rPr>
        <w:t>XLV. Versión pública</w:t>
      </w:r>
      <w:r w:rsidRPr="00B15B49">
        <w:rPr>
          <w:rFonts w:ascii="Palatino Linotype" w:hAnsi="Palatino Linotype" w:cs="Arial"/>
          <w:i/>
          <w:sz w:val="22"/>
          <w:szCs w:val="22"/>
        </w:rPr>
        <w:t>: Documento en el que se elimine, suprime o borra la información clasificada como reservada o confidencial para permitir su acceso.”</w:t>
      </w:r>
    </w:p>
    <w:p w14:paraId="7087653F" w14:textId="77777777" w:rsidR="00CB14DC" w:rsidRPr="00B15B49" w:rsidRDefault="00CB14DC" w:rsidP="00CB14DC">
      <w:pPr>
        <w:autoSpaceDE w:val="0"/>
        <w:autoSpaceDN w:val="0"/>
        <w:adjustRightInd w:val="0"/>
        <w:ind w:left="993" w:right="1041"/>
        <w:jc w:val="both"/>
        <w:rPr>
          <w:rFonts w:ascii="Palatino Linotype" w:hAnsi="Palatino Linotype" w:cs="Arial"/>
          <w:i/>
          <w:sz w:val="22"/>
          <w:szCs w:val="22"/>
        </w:rPr>
      </w:pPr>
    </w:p>
    <w:p w14:paraId="15442371" w14:textId="77777777" w:rsidR="00CB14DC" w:rsidRPr="00B15B49" w:rsidRDefault="00CB14DC" w:rsidP="00CB14DC">
      <w:pPr>
        <w:ind w:left="993" w:right="1041"/>
        <w:contextualSpacing/>
        <w:jc w:val="both"/>
        <w:rPr>
          <w:rFonts w:ascii="Palatino Linotype" w:hAnsi="Palatino Linotype"/>
          <w:i/>
          <w:sz w:val="22"/>
          <w:szCs w:val="22"/>
        </w:rPr>
      </w:pPr>
      <w:r w:rsidRPr="00B15B49">
        <w:rPr>
          <w:rFonts w:ascii="Palatino Linotype" w:hAnsi="Palatino Linotype"/>
          <w:b/>
          <w:i/>
          <w:sz w:val="22"/>
          <w:szCs w:val="22"/>
        </w:rPr>
        <w:lastRenderedPageBreak/>
        <w:t>“Artículo 6.</w:t>
      </w:r>
      <w:r w:rsidRPr="00B15B49">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2105BC6" w14:textId="77777777" w:rsidR="00CB14DC" w:rsidRPr="00B15B49" w:rsidRDefault="00CB14DC" w:rsidP="00CB14DC">
      <w:pPr>
        <w:ind w:left="993" w:right="1041"/>
        <w:contextualSpacing/>
        <w:jc w:val="both"/>
        <w:rPr>
          <w:rFonts w:ascii="Palatino Linotype" w:hAnsi="Palatino Linotype" w:cs="Arial"/>
          <w:bCs/>
          <w:i/>
          <w:noProof/>
          <w:sz w:val="22"/>
          <w:szCs w:val="22"/>
        </w:rPr>
      </w:pPr>
    </w:p>
    <w:p w14:paraId="789D9DD5" w14:textId="77777777" w:rsidR="00CB14DC" w:rsidRPr="00B15B49" w:rsidRDefault="00CB14DC" w:rsidP="00CB14DC">
      <w:pPr>
        <w:spacing w:before="240"/>
        <w:ind w:left="993" w:right="1041"/>
        <w:contextualSpacing/>
        <w:jc w:val="both"/>
        <w:rPr>
          <w:rFonts w:ascii="Palatino Linotype" w:hAnsi="Palatino Linotype" w:cs="Arial"/>
          <w:b/>
          <w:bCs/>
          <w:i/>
          <w:noProof/>
          <w:sz w:val="22"/>
          <w:szCs w:val="22"/>
        </w:rPr>
      </w:pPr>
      <w:r w:rsidRPr="00B15B49">
        <w:rPr>
          <w:rFonts w:ascii="Palatino Linotype" w:hAnsi="Palatino Linotype"/>
          <w:b/>
          <w:i/>
          <w:sz w:val="22"/>
          <w:szCs w:val="22"/>
        </w:rPr>
        <w:t>“Artículo 137.</w:t>
      </w:r>
      <w:r w:rsidRPr="00B15B49">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1BCEB97" w14:textId="77777777" w:rsidR="00CB14DC" w:rsidRPr="00B15B49" w:rsidRDefault="00CB14DC" w:rsidP="00CB14DC">
      <w:pPr>
        <w:spacing w:before="240"/>
        <w:ind w:left="993" w:right="1041"/>
        <w:contextualSpacing/>
        <w:jc w:val="both"/>
        <w:rPr>
          <w:rFonts w:ascii="Palatino Linotype" w:hAnsi="Palatino Linotype" w:cs="Arial"/>
          <w:b/>
          <w:bCs/>
          <w:i/>
          <w:noProof/>
          <w:sz w:val="22"/>
          <w:szCs w:val="22"/>
        </w:rPr>
      </w:pPr>
    </w:p>
    <w:p w14:paraId="57A6D965"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“Artículo 143</w:t>
      </w:r>
      <w:r w:rsidRPr="00B15B49">
        <w:rPr>
          <w:rFonts w:ascii="Palatino Linotype" w:hAnsi="Palatino Linotype"/>
          <w:i/>
          <w:sz w:val="22"/>
          <w:szCs w:val="22"/>
        </w:rPr>
        <w:t>. Para los efectos de esta Ley se considera información confidencial, la clasificada como tal, de manera permanente, por su naturaleza, cuando:</w:t>
      </w:r>
    </w:p>
    <w:p w14:paraId="36EED3DB" w14:textId="77777777" w:rsidR="00CB14DC" w:rsidRPr="00B15B49" w:rsidRDefault="00CB14DC" w:rsidP="00CB14DC">
      <w:pPr>
        <w:spacing w:before="240"/>
        <w:ind w:left="993" w:right="1041"/>
        <w:contextualSpacing/>
        <w:jc w:val="both"/>
        <w:rPr>
          <w:rFonts w:ascii="Palatino Linotype" w:hAnsi="Palatino Linotype"/>
          <w:i/>
        </w:rPr>
      </w:pPr>
      <w:r w:rsidRPr="00B15B49">
        <w:rPr>
          <w:rFonts w:ascii="Palatino Linotype" w:hAnsi="Palatino Linotype"/>
          <w:b/>
          <w:i/>
          <w:sz w:val="22"/>
          <w:szCs w:val="22"/>
        </w:rPr>
        <w:t>I.</w:t>
      </w:r>
      <w:r w:rsidRPr="00B15B49">
        <w:rPr>
          <w:rFonts w:ascii="Palatino Linotype" w:hAnsi="Palatino Linotype"/>
          <w:i/>
          <w:sz w:val="22"/>
          <w:szCs w:val="22"/>
        </w:rPr>
        <w:t xml:space="preserve"> Se refiera a la información privada y los datos personales concernientes a una persona física o jurídico colectiva identificada o identificable…”</w:t>
      </w:r>
    </w:p>
    <w:p w14:paraId="03423C13" w14:textId="77777777" w:rsidR="00CB14DC" w:rsidRPr="00B15B49" w:rsidRDefault="00CB14DC" w:rsidP="00CB14DC">
      <w:pPr>
        <w:autoSpaceDE w:val="0"/>
        <w:autoSpaceDN w:val="0"/>
        <w:adjustRightInd w:val="0"/>
        <w:spacing w:before="240" w:after="240" w:line="360" w:lineRule="auto"/>
        <w:ind w:right="50"/>
        <w:jc w:val="both"/>
        <w:rPr>
          <w:rFonts w:ascii="Palatino Linotype" w:hAnsi="Palatino Linotype" w:cs="Arial"/>
        </w:rPr>
      </w:pPr>
      <w:r w:rsidRPr="00B15B49">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w:t>
      </w:r>
      <w:r w:rsidRPr="00B15B49">
        <w:rPr>
          <w:rFonts w:ascii="Palatino Linotype" w:hAnsi="Palatino Linotype" w:cs="Arial"/>
        </w:rPr>
        <w:lastRenderedPageBreak/>
        <w:t>de la Ley de Protección de Datos Personales en Posesión de Sujetos Obligados del Estado de México.</w:t>
      </w:r>
    </w:p>
    <w:p w14:paraId="1F074B45" w14:textId="77777777" w:rsidR="00CB14DC" w:rsidRPr="00B15B49" w:rsidRDefault="00CB14DC" w:rsidP="00CB14DC">
      <w:pPr>
        <w:autoSpaceDE w:val="0"/>
        <w:autoSpaceDN w:val="0"/>
        <w:adjustRightInd w:val="0"/>
        <w:spacing w:before="240" w:after="240" w:line="360" w:lineRule="auto"/>
        <w:ind w:right="50"/>
        <w:jc w:val="both"/>
        <w:rPr>
          <w:rFonts w:ascii="Palatino Linotype" w:hAnsi="Palatino Linotype" w:cs="Arial"/>
        </w:rPr>
      </w:pPr>
      <w:r w:rsidRPr="00B15B49">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5DF498B" w14:textId="77777777" w:rsidR="00CB14DC" w:rsidRPr="00B15B49" w:rsidRDefault="00CB14DC" w:rsidP="00CB14DC">
      <w:pPr>
        <w:autoSpaceDE w:val="0"/>
        <w:autoSpaceDN w:val="0"/>
        <w:adjustRightInd w:val="0"/>
        <w:spacing w:before="240" w:after="240" w:line="360" w:lineRule="auto"/>
        <w:ind w:right="50"/>
        <w:jc w:val="both"/>
        <w:rPr>
          <w:rFonts w:ascii="Palatino Linotype" w:hAnsi="Palatino Linotype" w:cs="Arial"/>
        </w:rPr>
      </w:pPr>
      <w:r w:rsidRPr="00B15B49">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215422D"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“Artículo 49.</w:t>
      </w:r>
      <w:r w:rsidRPr="00B15B49">
        <w:rPr>
          <w:rFonts w:ascii="Palatino Linotype" w:hAnsi="Palatino Linotype"/>
          <w:i/>
          <w:sz w:val="22"/>
          <w:szCs w:val="22"/>
        </w:rPr>
        <w:t xml:space="preserve"> </w:t>
      </w:r>
      <w:r w:rsidRPr="00B15B49">
        <w:rPr>
          <w:rFonts w:ascii="Palatino Linotype" w:hAnsi="Palatino Linotype"/>
          <w:b/>
          <w:i/>
          <w:sz w:val="22"/>
          <w:szCs w:val="22"/>
        </w:rPr>
        <w:t>Los Comités de Transparencia</w:t>
      </w:r>
      <w:r w:rsidRPr="00B15B49">
        <w:rPr>
          <w:rFonts w:ascii="Palatino Linotype" w:hAnsi="Palatino Linotype"/>
          <w:i/>
          <w:sz w:val="22"/>
          <w:szCs w:val="22"/>
        </w:rPr>
        <w:t xml:space="preserve"> tendrán las siguientes atribuciones:</w:t>
      </w:r>
    </w:p>
    <w:p w14:paraId="54986262"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VIII. Aprobar, modificar o revocar la clasificación de la información</w:t>
      </w:r>
      <w:r w:rsidRPr="00B15B49">
        <w:rPr>
          <w:rFonts w:ascii="Palatino Linotype" w:hAnsi="Palatino Linotype"/>
          <w:i/>
          <w:sz w:val="22"/>
          <w:szCs w:val="22"/>
        </w:rPr>
        <w:t>…”</w:t>
      </w:r>
    </w:p>
    <w:p w14:paraId="75031F9E" w14:textId="77777777" w:rsidR="00CB14DC" w:rsidRPr="00B15B49" w:rsidRDefault="00CB14DC" w:rsidP="00CB14DC">
      <w:pPr>
        <w:spacing w:before="240"/>
        <w:ind w:left="993" w:right="1041"/>
        <w:contextualSpacing/>
        <w:jc w:val="both"/>
        <w:rPr>
          <w:rFonts w:ascii="Palatino Linotype" w:hAnsi="Palatino Linotype"/>
          <w:b/>
          <w:i/>
          <w:sz w:val="22"/>
          <w:szCs w:val="22"/>
        </w:rPr>
      </w:pPr>
    </w:p>
    <w:p w14:paraId="13E0DE52"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i/>
          <w:sz w:val="22"/>
          <w:szCs w:val="22"/>
        </w:rPr>
        <w:t>“</w:t>
      </w:r>
      <w:r w:rsidRPr="00B15B49">
        <w:rPr>
          <w:rFonts w:ascii="Palatino Linotype" w:hAnsi="Palatino Linotype"/>
          <w:b/>
          <w:i/>
          <w:sz w:val="22"/>
          <w:szCs w:val="22"/>
        </w:rPr>
        <w:t>Artículo 53.</w:t>
      </w:r>
      <w:r w:rsidRPr="00B15B49">
        <w:rPr>
          <w:rFonts w:ascii="Palatino Linotype" w:hAnsi="Palatino Linotype"/>
          <w:i/>
          <w:sz w:val="22"/>
          <w:szCs w:val="22"/>
        </w:rPr>
        <w:t xml:space="preserve"> Las </w:t>
      </w:r>
      <w:r w:rsidRPr="00B15B49">
        <w:rPr>
          <w:rFonts w:ascii="Palatino Linotype" w:hAnsi="Palatino Linotype"/>
          <w:b/>
          <w:i/>
          <w:sz w:val="22"/>
          <w:szCs w:val="22"/>
        </w:rPr>
        <w:t>Unidades de Transparencia</w:t>
      </w:r>
      <w:r w:rsidRPr="00B15B49">
        <w:rPr>
          <w:rFonts w:ascii="Palatino Linotype" w:hAnsi="Palatino Linotype"/>
          <w:i/>
          <w:sz w:val="22"/>
          <w:szCs w:val="22"/>
        </w:rPr>
        <w:t xml:space="preserve"> tendrán las siguientes </w:t>
      </w:r>
      <w:r w:rsidRPr="00B15B49">
        <w:rPr>
          <w:rFonts w:ascii="Palatino Linotype" w:hAnsi="Palatino Linotype"/>
          <w:b/>
          <w:i/>
          <w:sz w:val="22"/>
          <w:szCs w:val="22"/>
        </w:rPr>
        <w:t>funciones</w:t>
      </w:r>
      <w:r w:rsidRPr="00B15B49">
        <w:rPr>
          <w:rFonts w:ascii="Palatino Linotype" w:hAnsi="Palatino Linotype"/>
          <w:i/>
          <w:sz w:val="22"/>
          <w:szCs w:val="22"/>
        </w:rPr>
        <w:t>:</w:t>
      </w:r>
    </w:p>
    <w:p w14:paraId="34BDB540"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X. Presentar ante el Comité, el proyecto de clasificación de información</w:t>
      </w:r>
      <w:r w:rsidRPr="00B15B49">
        <w:rPr>
          <w:rFonts w:ascii="Palatino Linotype" w:hAnsi="Palatino Linotype"/>
          <w:i/>
          <w:sz w:val="22"/>
          <w:szCs w:val="22"/>
        </w:rPr>
        <w:t xml:space="preserve">…” </w:t>
      </w:r>
    </w:p>
    <w:p w14:paraId="6CDF1A56" w14:textId="77777777" w:rsidR="00CB14DC" w:rsidRPr="00B15B49" w:rsidRDefault="00CB14DC" w:rsidP="00CB14DC">
      <w:pPr>
        <w:spacing w:before="240"/>
        <w:ind w:left="993" w:right="1041"/>
        <w:contextualSpacing/>
        <w:jc w:val="both"/>
        <w:rPr>
          <w:rFonts w:ascii="Palatino Linotype" w:hAnsi="Palatino Linotype"/>
          <w:i/>
          <w:sz w:val="22"/>
          <w:szCs w:val="22"/>
        </w:rPr>
      </w:pPr>
    </w:p>
    <w:p w14:paraId="46023706"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“Artículo 59.</w:t>
      </w:r>
      <w:r w:rsidRPr="00B15B49">
        <w:rPr>
          <w:rFonts w:ascii="Palatino Linotype" w:hAnsi="Palatino Linotype"/>
          <w:i/>
          <w:sz w:val="22"/>
          <w:szCs w:val="22"/>
        </w:rPr>
        <w:t xml:space="preserve"> Los </w:t>
      </w:r>
      <w:r w:rsidRPr="00B15B49">
        <w:rPr>
          <w:rFonts w:ascii="Palatino Linotype" w:hAnsi="Palatino Linotype"/>
          <w:b/>
          <w:i/>
          <w:sz w:val="22"/>
          <w:szCs w:val="22"/>
        </w:rPr>
        <w:t>servidores públicos habilitados</w:t>
      </w:r>
      <w:r w:rsidRPr="00B15B49">
        <w:rPr>
          <w:rFonts w:ascii="Palatino Linotype" w:hAnsi="Palatino Linotype"/>
          <w:i/>
          <w:sz w:val="22"/>
          <w:szCs w:val="22"/>
        </w:rPr>
        <w:t xml:space="preserve"> tendrán las </w:t>
      </w:r>
      <w:r w:rsidRPr="00B15B49">
        <w:rPr>
          <w:rFonts w:ascii="Palatino Linotype" w:hAnsi="Palatino Linotype"/>
          <w:b/>
          <w:i/>
          <w:sz w:val="22"/>
          <w:szCs w:val="22"/>
        </w:rPr>
        <w:t>funciones</w:t>
      </w:r>
      <w:r w:rsidRPr="00B15B49">
        <w:rPr>
          <w:rFonts w:ascii="Palatino Linotype" w:hAnsi="Palatino Linotype"/>
          <w:i/>
          <w:sz w:val="22"/>
          <w:szCs w:val="22"/>
        </w:rPr>
        <w:t xml:space="preserve"> siguientes:</w:t>
      </w:r>
    </w:p>
    <w:p w14:paraId="5E05BCAA" w14:textId="77777777" w:rsidR="00CB14DC" w:rsidRPr="00B15B49" w:rsidRDefault="00CB14DC" w:rsidP="00CB14DC">
      <w:pPr>
        <w:spacing w:before="240"/>
        <w:ind w:left="993" w:right="1041"/>
        <w:contextualSpacing/>
        <w:jc w:val="both"/>
        <w:rPr>
          <w:rFonts w:ascii="Palatino Linotype" w:hAnsi="Palatino Linotype"/>
          <w:i/>
          <w:sz w:val="22"/>
          <w:szCs w:val="22"/>
        </w:rPr>
      </w:pPr>
      <w:r w:rsidRPr="00B15B49">
        <w:rPr>
          <w:rFonts w:ascii="Palatino Linotype" w:hAnsi="Palatino Linotype"/>
          <w:b/>
          <w:i/>
          <w:sz w:val="22"/>
          <w:szCs w:val="22"/>
        </w:rPr>
        <w:t>V. Integrar y presentar al responsable de la Unidad de Transparencia la propuesta de clasificación de información</w:t>
      </w:r>
      <w:r w:rsidRPr="00B15B49">
        <w:rPr>
          <w:rFonts w:ascii="Palatino Linotype" w:hAnsi="Palatino Linotype"/>
          <w:i/>
          <w:sz w:val="22"/>
          <w:szCs w:val="22"/>
        </w:rPr>
        <w:t>, la cual tendrá los fundamentos y argumentos en que se basa dicha propuesta…”</w:t>
      </w:r>
    </w:p>
    <w:p w14:paraId="1D23BDA5" w14:textId="77777777" w:rsidR="00CB14DC" w:rsidRPr="00B15B49" w:rsidRDefault="00CB14DC" w:rsidP="00CB14DC">
      <w:pPr>
        <w:spacing w:before="240" w:after="240" w:line="360" w:lineRule="auto"/>
        <w:jc w:val="both"/>
        <w:rPr>
          <w:rFonts w:ascii="Palatino Linotype" w:hAnsi="Palatino Linotype" w:cs="Arial"/>
        </w:rPr>
      </w:pPr>
      <w:r w:rsidRPr="00B15B49">
        <w:rPr>
          <w:rFonts w:ascii="Palatino Linotype" w:hAnsi="Palatino Linotype" w:cs="Arial"/>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F2F2E64" w14:textId="77777777" w:rsidR="00CB14DC" w:rsidRPr="00B15B49" w:rsidRDefault="00CB14DC" w:rsidP="00CB14DC">
      <w:pPr>
        <w:spacing w:before="240" w:after="240" w:line="360" w:lineRule="auto"/>
        <w:jc w:val="both"/>
        <w:rPr>
          <w:rFonts w:ascii="Palatino Linotype" w:hAnsi="Palatino Linotype"/>
        </w:rPr>
      </w:pPr>
      <w:r w:rsidRPr="00B15B49">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5013AF28" w14:textId="77777777" w:rsidR="00CB14DC" w:rsidRPr="00B15B49" w:rsidRDefault="00CB14DC" w:rsidP="00CB14DC">
      <w:pPr>
        <w:spacing w:before="240" w:after="240"/>
        <w:ind w:left="993" w:right="1041"/>
        <w:jc w:val="both"/>
        <w:rPr>
          <w:rFonts w:ascii="Palatino Linotype" w:hAnsi="Palatino Linotype" w:cs="Arial"/>
          <w:i/>
          <w:sz w:val="22"/>
          <w:szCs w:val="22"/>
        </w:rPr>
      </w:pPr>
      <w:r w:rsidRPr="00B15B49">
        <w:rPr>
          <w:rFonts w:ascii="Palatino Linotype" w:hAnsi="Palatino Linotype"/>
          <w:i/>
          <w:sz w:val="22"/>
          <w:szCs w:val="22"/>
        </w:rPr>
        <w:t>“</w:t>
      </w:r>
      <w:r w:rsidRPr="00B15B49">
        <w:rPr>
          <w:rFonts w:ascii="Palatino Linotype" w:hAnsi="Palatino Linotype"/>
          <w:b/>
          <w:i/>
          <w:sz w:val="22"/>
          <w:szCs w:val="22"/>
        </w:rPr>
        <w:t>Artículo 149.</w:t>
      </w:r>
      <w:r w:rsidRPr="00B15B49">
        <w:rPr>
          <w:rFonts w:ascii="Palatino Linotype" w:hAnsi="Palatino Linotype"/>
          <w:i/>
          <w:sz w:val="22"/>
          <w:szCs w:val="22"/>
        </w:rPr>
        <w:t xml:space="preserve"> El </w:t>
      </w:r>
      <w:r w:rsidRPr="00B15B49">
        <w:rPr>
          <w:rFonts w:ascii="Palatino Linotype" w:hAnsi="Palatino Linotype"/>
          <w:b/>
          <w:i/>
          <w:sz w:val="22"/>
          <w:szCs w:val="22"/>
        </w:rPr>
        <w:t>acuerdo que clasifique la información como confidencial</w:t>
      </w:r>
      <w:r w:rsidRPr="00B15B49">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1E33830D" w14:textId="77777777" w:rsidR="00CB14DC" w:rsidRDefault="00CB14DC" w:rsidP="00CB14DC">
      <w:pPr>
        <w:spacing w:before="240" w:after="240" w:line="360" w:lineRule="auto"/>
        <w:ind w:right="49"/>
        <w:jc w:val="both"/>
        <w:rPr>
          <w:rFonts w:ascii="Palatino Linotype" w:hAnsi="Palatino Linotype" w:cs="Arial"/>
          <w:lang w:eastAsia="es-CO"/>
        </w:rPr>
      </w:pPr>
      <w:r w:rsidRPr="00B15B49">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0B0038C0" w14:textId="77777777" w:rsidR="00C6606E" w:rsidRDefault="00C6606E" w:rsidP="00C6606E">
      <w:pPr>
        <w:spacing w:before="240" w:after="240" w:line="360" w:lineRule="auto"/>
        <w:jc w:val="both"/>
        <w:rPr>
          <w:rFonts w:ascii="Palatino Linotype" w:hAnsi="Palatino Linotype" w:cs="Arial"/>
          <w:lang w:val="es-MX"/>
        </w:rPr>
      </w:pPr>
      <w:r>
        <w:rPr>
          <w:rFonts w:ascii="Palatino Linotype" w:hAnsi="Palatino Linotype" w:cs="Arial"/>
          <w:lang w:val="es-MX"/>
        </w:rPr>
        <w:lastRenderedPageBreak/>
        <w:t xml:space="preserve">En el caso específico, es alusivo referir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Pr>
          <w:rFonts w:ascii="Palatino Linotype" w:hAnsi="Palatino Linotype" w:cs="Arial"/>
          <w:b/>
          <w:lang w:val="es-MX"/>
        </w:rPr>
        <w:t>Registro Federal de Contribuyentes</w:t>
      </w:r>
      <w:r>
        <w:rPr>
          <w:rFonts w:ascii="Palatino Linotype" w:hAnsi="Palatino Linotype" w:cs="Arial"/>
          <w:lang w:val="es-MX"/>
        </w:rPr>
        <w:t xml:space="preserve"> (RFC), la </w:t>
      </w:r>
      <w:r>
        <w:rPr>
          <w:rFonts w:ascii="Palatino Linotype" w:hAnsi="Palatino Linotype" w:cs="Arial"/>
          <w:b/>
          <w:lang w:val="es-MX"/>
        </w:rPr>
        <w:t>Clave Única de Registro de Población</w:t>
      </w:r>
      <w:r>
        <w:rPr>
          <w:rFonts w:ascii="Palatino Linotype" w:hAnsi="Palatino Linotype" w:cs="Arial"/>
          <w:lang w:val="es-MX"/>
        </w:rPr>
        <w:t xml:space="preserve"> (CURP), la </w:t>
      </w:r>
      <w:r>
        <w:rPr>
          <w:rFonts w:ascii="Palatino Linotype" w:hAnsi="Palatino Linotype" w:cs="Arial"/>
          <w:b/>
          <w:lang w:val="es-MX"/>
        </w:rPr>
        <w:t>Clave de cualquier tipo de seguridad social</w:t>
      </w:r>
      <w:r>
        <w:rPr>
          <w:rFonts w:ascii="Palatino Linotype" w:hAnsi="Palatino Linotype" w:cs="Arial"/>
          <w:lang w:val="es-MX"/>
        </w:rPr>
        <w:t xml:space="preserve"> (ISSEMYM, u otros), así como, los </w:t>
      </w:r>
      <w:r>
        <w:rPr>
          <w:rFonts w:ascii="Palatino Linotype" w:hAnsi="Palatino Linotype" w:cs="Arial"/>
          <w:b/>
          <w:lang w:val="es-MX"/>
        </w:rPr>
        <w:t>préstamos o descuentos</w:t>
      </w:r>
      <w:r>
        <w:rPr>
          <w:rFonts w:ascii="Palatino Linotype" w:hAnsi="Palatino Linotype" w:cs="Arial"/>
          <w:lang w:val="es-MX"/>
        </w:rPr>
        <w:t xml:space="preserve"> que se le hagan a la persona y que no tengan relación con los impuestos o la cuota por seguridad social.</w:t>
      </w:r>
    </w:p>
    <w:p w14:paraId="228DCCBB" w14:textId="77777777" w:rsidR="00C6606E" w:rsidRDefault="00C6606E" w:rsidP="00C6606E">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lang w:eastAsia="es-MX"/>
        </w:rPr>
        <w:t>En cuanto al Registro Federal de Contribuyentes constituye un dato personal, ya que para su obtención es necesario acreditar ante la autoridad fiscal previamente la identidad de la persona, su fecha de nacimiento, entre otros aspectos.</w:t>
      </w:r>
    </w:p>
    <w:p w14:paraId="34F3F781" w14:textId="77777777" w:rsidR="00C6606E" w:rsidRDefault="00C6606E" w:rsidP="00C6606E">
      <w:pPr>
        <w:spacing w:before="240" w:after="240" w:line="360" w:lineRule="auto"/>
        <w:jc w:val="both"/>
        <w:rPr>
          <w:rFonts w:ascii="Palatino Linotype" w:hAnsi="Palatino Linotype" w:cs="Arial"/>
          <w:lang w:eastAsia="es-MX"/>
        </w:rPr>
      </w:pPr>
      <w:r>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9973812" w14:textId="77777777" w:rsidR="00C6606E" w:rsidRPr="00B15B49" w:rsidRDefault="00C6606E" w:rsidP="00C6606E">
      <w:pPr>
        <w:spacing w:before="240" w:after="240" w:line="360" w:lineRule="auto"/>
        <w:jc w:val="both"/>
        <w:rPr>
          <w:rFonts w:ascii="Palatino Linotype" w:hAnsi="Palatino Linotype" w:cs="Arial"/>
          <w:lang w:eastAsia="es-MX"/>
        </w:rPr>
      </w:pPr>
      <w:r w:rsidRPr="00B15B49">
        <w:rPr>
          <w:rFonts w:ascii="Palatino Linotype" w:hAnsi="Palatino Linotype" w:cs="Arial"/>
          <w:lang w:eastAsia="es-MX"/>
        </w:rPr>
        <w:t>Lo anterior es compartido por el entonces Instituto Nacional de Transparencia, Acceso a la Información y Protección de Datos Personales (INAI) a través del Criterio 19/17, el cual es del tenor literal siguiente:</w:t>
      </w:r>
    </w:p>
    <w:p w14:paraId="3352D591" w14:textId="494EF683" w:rsidR="00C6606E" w:rsidRDefault="00C6606E" w:rsidP="00C6606E">
      <w:pPr>
        <w:autoSpaceDE w:val="0"/>
        <w:autoSpaceDN w:val="0"/>
        <w:adjustRightInd w:val="0"/>
        <w:spacing w:before="240" w:after="240"/>
        <w:ind w:left="851" w:right="900"/>
        <w:jc w:val="both"/>
        <w:rPr>
          <w:rFonts w:ascii="Palatino Linotype" w:hAnsi="Palatino Linotype" w:cs="Arial"/>
          <w:i/>
          <w:sz w:val="22"/>
        </w:rPr>
      </w:pPr>
      <w:r w:rsidRPr="00B15B49">
        <w:rPr>
          <w:rFonts w:ascii="Palatino Linotype" w:hAnsi="Palatino Linotype" w:cs="Arial"/>
          <w:b/>
          <w:bCs/>
          <w:i/>
          <w:sz w:val="22"/>
          <w:szCs w:val="22"/>
        </w:rPr>
        <w:t xml:space="preserve">“Registro Federal de Contribuyentes (RFC) de personas físicas. </w:t>
      </w:r>
      <w:r w:rsidRPr="00B15B49">
        <w:rPr>
          <w:rFonts w:ascii="Palatino Linotype" w:hAnsi="Palatino Linotype" w:cs="Arial"/>
          <w:bCs/>
          <w:i/>
          <w:sz w:val="22"/>
          <w:szCs w:val="22"/>
        </w:rPr>
        <w:t>E</w:t>
      </w:r>
      <w:r w:rsidRPr="00B15B49">
        <w:rPr>
          <w:rFonts w:ascii="Palatino Linotype" w:hAnsi="Palatino Linotype" w:cs="Arial"/>
          <w:i/>
          <w:sz w:val="22"/>
          <w:szCs w:val="22"/>
        </w:rPr>
        <w:t>l RFC es una clave de carácter fiscal, única e irrepetible, que permite identificar al titular, su edad y fecha de nacimiento, por lo que es un dato personal de carácter confidencial.”</w:t>
      </w:r>
      <w:r w:rsidRPr="00B15B49">
        <w:rPr>
          <w:rFonts w:ascii="Palatino Linotype" w:hAnsi="Palatino Linotype" w:cs="Arial"/>
          <w:bCs/>
          <w:i/>
          <w:sz w:val="22"/>
          <w:szCs w:val="22"/>
        </w:rPr>
        <w:t xml:space="preserve"> (Sic)</w:t>
      </w:r>
    </w:p>
    <w:p w14:paraId="0BD7FAEA" w14:textId="03BC4A27" w:rsidR="00C6606E" w:rsidRDefault="00C6606E" w:rsidP="00C6606E">
      <w:pPr>
        <w:spacing w:before="240" w:after="240" w:line="360" w:lineRule="auto"/>
        <w:jc w:val="both"/>
        <w:rPr>
          <w:rFonts w:ascii="Palatino Linotype" w:hAnsi="Palatino Linotype" w:cs="Arial"/>
          <w:lang w:val="es-MX" w:eastAsia="es-MX"/>
        </w:rPr>
      </w:pPr>
      <w:r>
        <w:rPr>
          <w:rFonts w:ascii="Palatino Linotype" w:hAnsi="Palatino Linotype" w:cs="Arial"/>
          <w:lang w:val="es-MX" w:eastAsia="es-MX"/>
        </w:rPr>
        <w:lastRenderedPageBreak/>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w:t>
      </w:r>
    </w:p>
    <w:p w14:paraId="77C1914F" w14:textId="77777777" w:rsidR="00C6606E" w:rsidRDefault="00C6606E" w:rsidP="00C6606E">
      <w:pPr>
        <w:spacing w:before="240" w:after="240" w:line="360" w:lineRule="auto"/>
        <w:jc w:val="both"/>
        <w:rPr>
          <w:rFonts w:ascii="Palatino Linotype" w:hAnsi="Palatino Linotype" w:cs="Arial"/>
          <w:lang w:val="es-MX" w:eastAsia="es-MX"/>
        </w:rPr>
      </w:pPr>
      <w:r>
        <w:rPr>
          <w:rFonts w:ascii="Palatino Linotype" w:hAnsi="Palatino Linotype" w:cs="Arial"/>
          <w:lang w:val="es-MX" w:eastAsia="es-MX"/>
        </w:rPr>
        <w:t xml:space="preserve">En cuanto a la </w:t>
      </w:r>
      <w:r>
        <w:rPr>
          <w:rFonts w:ascii="Palatino Linotype" w:hAnsi="Palatino Linotype" w:cs="Arial"/>
          <w:lang w:val="es-MX"/>
        </w:rPr>
        <w:t xml:space="preserve">CURP en virtud de que éste se </w:t>
      </w:r>
      <w:r>
        <w:rPr>
          <w:rFonts w:ascii="Palatino Linotype"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7F05552" w14:textId="77777777" w:rsidR="00C6606E" w:rsidRPr="00B15B49" w:rsidRDefault="00C6606E" w:rsidP="00C6606E">
      <w:pPr>
        <w:spacing w:before="240" w:after="240" w:line="360" w:lineRule="auto"/>
        <w:jc w:val="both"/>
        <w:rPr>
          <w:rFonts w:ascii="Palatino Linotype" w:hAnsi="Palatino Linotype" w:cs="Arial"/>
        </w:rPr>
      </w:pPr>
      <w:r w:rsidRPr="00B15B49">
        <w:rPr>
          <w:rFonts w:ascii="Palatino Linotype" w:hAnsi="Palatino Linotype" w:cs="Arial"/>
        </w:rPr>
        <w:t xml:space="preserve">Argumento que es compartido por el entonces </w:t>
      </w:r>
      <w:r w:rsidRPr="00B15B49">
        <w:rPr>
          <w:rFonts w:ascii="Palatino Linotype" w:hAnsi="Palatino Linotype" w:cs="Arial"/>
          <w:lang w:eastAsia="es-MX"/>
        </w:rPr>
        <w:t>Instituto Nacional de Transparencia, Acceso a la Información y Protección de Datos Personales (INAI)</w:t>
      </w:r>
      <w:r w:rsidRPr="00B15B49">
        <w:rPr>
          <w:rFonts w:ascii="Palatino Linotype" w:hAnsi="Palatino Linotype" w:cs="Arial"/>
          <w:bCs/>
        </w:rPr>
        <w:t xml:space="preserve">, conforme al </w:t>
      </w:r>
      <w:r w:rsidRPr="00B15B49">
        <w:rPr>
          <w:rFonts w:ascii="Palatino Linotype" w:hAnsi="Palatino Linotype" w:cs="Arial"/>
        </w:rPr>
        <w:t xml:space="preserve">criterio número 18/17, el cual refiere: </w:t>
      </w:r>
    </w:p>
    <w:p w14:paraId="4276B5DA" w14:textId="2A05E8FB" w:rsidR="00C6606E" w:rsidRDefault="00C6606E" w:rsidP="00C6606E">
      <w:pPr>
        <w:autoSpaceDE w:val="0"/>
        <w:autoSpaceDN w:val="0"/>
        <w:adjustRightInd w:val="0"/>
        <w:spacing w:before="240" w:after="240"/>
        <w:ind w:left="851" w:right="900"/>
        <w:jc w:val="both"/>
        <w:rPr>
          <w:rFonts w:ascii="Palatino Linotype" w:hAnsi="Palatino Linotype" w:cs="Arial"/>
          <w:i/>
          <w:sz w:val="22"/>
          <w:lang w:eastAsia="es-MX"/>
        </w:rPr>
      </w:pPr>
      <w:r w:rsidRPr="00B15B49">
        <w:rPr>
          <w:rFonts w:ascii="Palatino Linotype" w:hAnsi="Palatino Linotype"/>
          <w:b/>
          <w:bCs/>
          <w:i/>
          <w:sz w:val="22"/>
          <w:szCs w:val="22"/>
          <w:lang w:eastAsia="es-MX"/>
        </w:rPr>
        <w:t>“</w:t>
      </w:r>
      <w:r w:rsidRPr="00B15B49">
        <w:rPr>
          <w:rFonts w:ascii="Palatino Linotype" w:hAnsi="Palatino Linotype"/>
          <w:b/>
          <w:bCs/>
          <w:i/>
          <w:sz w:val="22"/>
          <w:szCs w:val="22"/>
        </w:rPr>
        <w:t xml:space="preserve">Clave Única de Registro de Población (CURP). </w:t>
      </w:r>
      <w:r w:rsidRPr="00B15B49">
        <w:rPr>
          <w:rFonts w:ascii="Palatino Linotype" w:hAnsi="Palatino Linotype"/>
          <w:bCs/>
          <w:i/>
          <w:sz w:val="22"/>
          <w:szCs w:val="22"/>
        </w:rPr>
        <w:t xml:space="preserve">La </w:t>
      </w:r>
      <w:r w:rsidRPr="00B15B49">
        <w:rPr>
          <w:rFonts w:ascii="Palatino Linotype" w:hAnsi="Palatino Linotype"/>
          <w:i/>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B15B49">
        <w:rPr>
          <w:rFonts w:ascii="Palatino Linotype" w:hAnsi="Palatino Linotype"/>
          <w:i/>
          <w:sz w:val="22"/>
          <w:szCs w:val="22"/>
          <w:lang w:eastAsia="es-MX"/>
        </w:rPr>
        <w:t>” (Sic)</w:t>
      </w:r>
    </w:p>
    <w:p w14:paraId="5F2B4DE6" w14:textId="77777777" w:rsidR="00C6606E" w:rsidRDefault="00C6606E" w:rsidP="00C6606E">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Por lo que respecta a la clave de seguridad social, en virtud de que su divulgación no aporta a la transparencia o a la rendición de cuentas y sí provoca una transgresión </w:t>
      </w:r>
      <w:r>
        <w:rPr>
          <w:rFonts w:ascii="Palatino Linotype" w:hAnsi="Palatino Linotype" w:cs="Arial"/>
        </w:rPr>
        <w:lastRenderedPageBreak/>
        <w:t>a la vida privada e intimidad de la persona, esta información también resulta ser de carácter confidencial.</w:t>
      </w:r>
    </w:p>
    <w:p w14:paraId="2990B688" w14:textId="3DEDCAE4" w:rsidR="00C6606E" w:rsidRDefault="00C6606E" w:rsidP="00C6606E">
      <w:pPr>
        <w:spacing w:before="240" w:after="240" w:line="360" w:lineRule="auto"/>
        <w:ind w:right="49"/>
        <w:jc w:val="both"/>
        <w:rPr>
          <w:rFonts w:ascii="Palatino Linotype" w:hAnsi="Palatino Linotype" w:cs="Arial"/>
        </w:rPr>
      </w:pPr>
      <w:r>
        <w:rPr>
          <w:rFonts w:ascii="Palatino Linotype" w:hAnsi="Palatino Linotype" w:cs="Arial"/>
        </w:rPr>
        <w:t>No obstante lo anterior, tratándose de proveedores, prestadores de servicios o contratistas, dichos datos no deben ser suprimidos de las facturas y contratos que vayan a ser entregados.</w:t>
      </w:r>
    </w:p>
    <w:p w14:paraId="2FB73954" w14:textId="77777777" w:rsidR="00C6606E" w:rsidRDefault="00C6606E" w:rsidP="00C6606E">
      <w:pPr>
        <w:shd w:val="clear" w:color="auto" w:fill="FFFFFF"/>
        <w:spacing w:before="240" w:after="360" w:line="360" w:lineRule="auto"/>
        <w:jc w:val="both"/>
        <w:rPr>
          <w:rFonts w:ascii="Palatino Linotype" w:hAnsi="Palatino Linotype" w:cs="Arial"/>
          <w:color w:val="222222"/>
          <w:lang w:eastAsia="es-MX"/>
        </w:rPr>
      </w:pPr>
      <w:r>
        <w:rPr>
          <w:rFonts w:ascii="Palatino Linotype" w:hAnsi="Palatino Linotype" w:cs="Arial"/>
        </w:rPr>
        <w:t xml:space="preserve">Ello se debe a que del ejercicio de </w:t>
      </w:r>
      <w:r w:rsidRPr="0014493C">
        <w:rPr>
          <w:rFonts w:ascii="Palatino Linotype" w:hAnsi="Palatino Linotype" w:cs="Arial"/>
          <w:color w:val="222222"/>
          <w:lang w:eastAsia="es-MX"/>
        </w:rPr>
        <w:t>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231F0EA7" w14:textId="77777777" w:rsidR="00C6606E" w:rsidRDefault="00C6606E" w:rsidP="00C6606E">
      <w:pPr>
        <w:shd w:val="clear" w:color="auto" w:fill="FFFFFF"/>
        <w:spacing w:before="240" w:after="360" w:line="360" w:lineRule="auto"/>
        <w:jc w:val="both"/>
        <w:rPr>
          <w:rFonts w:ascii="Palatino Linotype" w:hAnsi="Palatino Linotype" w:cs="Arial"/>
          <w:color w:val="222222"/>
          <w:lang w:eastAsia="es-MX"/>
        </w:rPr>
      </w:pPr>
      <w:r w:rsidRPr="0014493C">
        <w:rPr>
          <w:rFonts w:ascii="Palatino Linotype" w:hAnsi="Palatino Linotype" w:cs="Arial"/>
          <w:color w:val="222222"/>
          <w:lang w:eastAsia="es-MX"/>
        </w:rPr>
        <w:t>Además, las personas físicas que realicen las actividades contratadas por las instituciones</w:t>
      </w:r>
      <w:r>
        <w:rPr>
          <w:rFonts w:ascii="Palatino Linotype" w:hAnsi="Palatino Linotype" w:cs="Arial"/>
          <w:color w:val="222222"/>
          <w:lang w:eastAsia="es-MX"/>
        </w:rPr>
        <w:t>,</w:t>
      </w:r>
      <w:r w:rsidRPr="0014493C">
        <w:rPr>
          <w:rFonts w:ascii="Palatino Linotype" w:hAnsi="Palatino Linotype" w:cs="Arial"/>
          <w:color w:val="222222"/>
          <w:lang w:eastAsia="es-MX"/>
        </w:rPr>
        <w:t xml:space="preserve">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w:t>
      </w:r>
      <w:r>
        <w:rPr>
          <w:rFonts w:ascii="Palatino Linotype" w:hAnsi="Palatino Linotype" w:cs="Arial"/>
          <w:color w:val="222222"/>
          <w:lang w:eastAsia="es-MX"/>
        </w:rPr>
        <w:t>ndo debidamente el presupuesto.</w:t>
      </w:r>
    </w:p>
    <w:p w14:paraId="7981ECEA" w14:textId="77777777" w:rsidR="00C6606E" w:rsidRDefault="00C6606E" w:rsidP="00C6606E">
      <w:pPr>
        <w:shd w:val="clear" w:color="auto" w:fill="FFFFFF"/>
        <w:spacing w:before="240" w:after="360" w:line="360" w:lineRule="auto"/>
        <w:jc w:val="both"/>
        <w:rPr>
          <w:rFonts w:ascii="Palatino Linotype" w:hAnsi="Palatino Linotype" w:cs="Arial"/>
          <w:color w:val="222222"/>
          <w:lang w:eastAsia="es-MX"/>
        </w:rPr>
      </w:pPr>
      <w:r>
        <w:rPr>
          <w:rFonts w:ascii="Palatino Linotype" w:hAnsi="Palatino Linotype" w:cs="Arial"/>
          <w:color w:val="222222"/>
          <w:lang w:eastAsia="es-MX"/>
        </w:rPr>
        <w:lastRenderedPageBreak/>
        <w:t>Argumentación que guarda sustento en lo estipulado por el artículo 23 de la Ley de Transparencia y Acceso a la Información Pública del Estado de México y Municipios vigente en su penúltimo párrafo, mismo que se lee como sigue:</w:t>
      </w:r>
    </w:p>
    <w:p w14:paraId="086ABB75" w14:textId="77777777" w:rsidR="00C6606E" w:rsidRPr="004A5379" w:rsidRDefault="00C6606E" w:rsidP="00C6606E">
      <w:pPr>
        <w:shd w:val="clear" w:color="auto" w:fill="FFFFFF"/>
        <w:spacing w:before="240" w:after="360"/>
        <w:ind w:left="851" w:right="900"/>
        <w:jc w:val="both"/>
        <w:rPr>
          <w:rFonts w:ascii="Palatino Linotype" w:hAnsi="Palatino Linotype"/>
          <w:i/>
          <w:sz w:val="22"/>
          <w:szCs w:val="22"/>
        </w:rPr>
      </w:pPr>
      <w:r w:rsidRPr="004A5379">
        <w:rPr>
          <w:rFonts w:ascii="Palatino Linotype" w:hAnsi="Palatino Linotype"/>
          <w:i/>
          <w:sz w:val="22"/>
          <w:szCs w:val="22"/>
        </w:rPr>
        <w:t>“</w:t>
      </w:r>
      <w:r w:rsidRPr="004A5379">
        <w:rPr>
          <w:rFonts w:ascii="Palatino Linotype" w:hAnsi="Palatino Linotype"/>
          <w:b/>
          <w:i/>
          <w:sz w:val="22"/>
          <w:szCs w:val="22"/>
        </w:rPr>
        <w:t>Artículo 23.</w:t>
      </w:r>
      <w:r w:rsidRPr="004A5379">
        <w:rPr>
          <w:rFonts w:ascii="Palatino Linotype" w:hAnsi="Palatino Linotype"/>
          <w:i/>
          <w:sz w:val="22"/>
          <w:szCs w:val="22"/>
        </w:rPr>
        <w:t xml:space="preserve"> (…)</w:t>
      </w:r>
    </w:p>
    <w:p w14:paraId="3FC7B5E2" w14:textId="01A62118" w:rsidR="00C6606E" w:rsidRDefault="00C6606E" w:rsidP="00C6606E">
      <w:pPr>
        <w:autoSpaceDE w:val="0"/>
        <w:autoSpaceDN w:val="0"/>
        <w:adjustRightInd w:val="0"/>
        <w:spacing w:before="240" w:after="240"/>
        <w:ind w:left="851" w:right="900"/>
        <w:jc w:val="both"/>
        <w:rPr>
          <w:rFonts w:ascii="Palatino Linotype" w:hAnsi="Palatino Linotype" w:cs="Arial"/>
        </w:rPr>
      </w:pPr>
      <w:r w:rsidRPr="004A5379">
        <w:rPr>
          <w:rFonts w:ascii="Palatino Linotype" w:hAnsi="Palatino Linotype"/>
          <w:b/>
          <w:i/>
          <w:sz w:val="22"/>
          <w:szCs w:val="22"/>
        </w:rPr>
        <w:t>Los sujetos obligados deberán hacer pública toda aquella información relativa a los montos y las personas a quienes entreguen, por cualquier motivo, recursos públicos</w:t>
      </w:r>
      <w:r w:rsidRPr="004A5379">
        <w:rPr>
          <w:rFonts w:ascii="Palatino Linotype" w:hAnsi="Palatino Linotype"/>
          <w:i/>
          <w:sz w:val="22"/>
          <w:szCs w:val="22"/>
        </w:rPr>
        <w:t>, así como los informes que dichas personas les entreguen sobre el uso y destino de dichos recursos…”</w:t>
      </w:r>
    </w:p>
    <w:p w14:paraId="1B586B5D" w14:textId="77777777" w:rsidR="00C6606E" w:rsidRDefault="00C6606E" w:rsidP="00C6606E">
      <w:pPr>
        <w:autoSpaceDE w:val="0"/>
        <w:autoSpaceDN w:val="0"/>
        <w:adjustRightInd w:val="0"/>
        <w:spacing w:before="240" w:after="240" w:line="360" w:lineRule="auto"/>
        <w:jc w:val="both"/>
        <w:rPr>
          <w:rFonts w:ascii="Palatino Linotype" w:hAnsi="Palatino Linotype" w:cs="Arial"/>
          <w:lang w:val="es-MX"/>
        </w:rPr>
      </w:pPr>
      <w:r>
        <w:rPr>
          <w:rFonts w:ascii="Palatino Linotype" w:hAnsi="Palatino Linotype" w:cs="Arial"/>
          <w:lang w:val="es-MX"/>
        </w:rPr>
        <w:t>Respecto de los préstamos o descuentos de carácter personal, en virtud de no tener relación con la prestación del servicio y al no involucrar instituciones públicas, se consideran datos confidenciales.</w:t>
      </w:r>
    </w:p>
    <w:p w14:paraId="2A1B9D76" w14:textId="77777777" w:rsidR="00C6606E" w:rsidRDefault="00C6606E" w:rsidP="00C6606E">
      <w:pPr>
        <w:spacing w:before="240" w:after="240" w:line="360" w:lineRule="auto"/>
        <w:jc w:val="both"/>
        <w:rPr>
          <w:rFonts w:ascii="Palatino Linotype" w:hAnsi="Palatino Linotype" w:cs="Arial"/>
          <w:lang w:val="es-MX"/>
        </w:rPr>
      </w:pPr>
      <w:r>
        <w:rPr>
          <w:rFonts w:ascii="Palatino Linotype" w:hAnsi="Palatino Linotype" w:cs="Arial"/>
          <w:lang w:val="es-MX"/>
        </w:rPr>
        <w:t>Para entender los límites y alcances de esta restricción, es oportuno recurrir al artículo 84 de la Ley del Trabajo de los Servidores Públicos del Estado y Municipios:</w:t>
      </w:r>
    </w:p>
    <w:p w14:paraId="00748712" w14:textId="77777777" w:rsidR="00C6606E" w:rsidRDefault="00C6606E" w:rsidP="00C6606E">
      <w:pPr>
        <w:spacing w:before="240" w:after="240"/>
        <w:ind w:left="851" w:right="900"/>
        <w:jc w:val="both"/>
        <w:rPr>
          <w:rFonts w:ascii="Palatino Linotype" w:hAnsi="Palatino Linotype" w:cs="Arial"/>
          <w:b/>
          <w:bCs/>
          <w:i/>
          <w:noProof/>
          <w:sz w:val="22"/>
        </w:rPr>
      </w:pPr>
      <w:r>
        <w:rPr>
          <w:rFonts w:ascii="Palatino Linotype" w:hAnsi="Palatino Linotype" w:cs="Arial"/>
          <w:b/>
          <w:bCs/>
          <w:i/>
          <w:noProof/>
          <w:sz w:val="22"/>
        </w:rPr>
        <w:t xml:space="preserve">“ARTÍCULO 84. </w:t>
      </w:r>
      <w:r>
        <w:rPr>
          <w:rFonts w:ascii="Palatino Linotype" w:hAnsi="Palatino Linotype" w:cs="Arial"/>
          <w:bCs/>
          <w:i/>
          <w:noProof/>
          <w:sz w:val="22"/>
        </w:rPr>
        <w:t>Sólo podrán hacerse retenciones, descuentos o deducciones al sueldo de los servidores públicos por concepto de:</w:t>
      </w:r>
    </w:p>
    <w:p w14:paraId="116E70CB" w14:textId="77777777" w:rsidR="00C6606E" w:rsidRDefault="00C6606E" w:rsidP="00C6606E">
      <w:pPr>
        <w:spacing w:before="240" w:after="240"/>
        <w:ind w:left="851" w:right="900"/>
        <w:jc w:val="both"/>
        <w:rPr>
          <w:rFonts w:ascii="Palatino Linotype" w:hAnsi="Palatino Linotype" w:cs="Arial"/>
          <w:bCs/>
          <w:i/>
          <w:noProof/>
          <w:sz w:val="22"/>
        </w:rPr>
      </w:pPr>
      <w:r>
        <w:rPr>
          <w:rFonts w:ascii="Palatino Linotype" w:hAnsi="Palatino Linotype" w:cs="Arial"/>
          <w:bCs/>
          <w:i/>
          <w:noProof/>
          <w:sz w:val="22"/>
        </w:rPr>
        <w:t>I. Gravámenes fiscales relacionados con el sueldo;</w:t>
      </w:r>
    </w:p>
    <w:p w14:paraId="54E9D883" w14:textId="77777777" w:rsidR="00C6606E" w:rsidRDefault="00C6606E" w:rsidP="00C6606E">
      <w:pPr>
        <w:spacing w:before="240" w:after="240"/>
        <w:ind w:left="851" w:right="900"/>
        <w:jc w:val="both"/>
        <w:rPr>
          <w:rFonts w:ascii="Palatino Linotype" w:hAnsi="Palatino Linotype" w:cs="Arial"/>
          <w:bCs/>
          <w:i/>
          <w:noProof/>
          <w:sz w:val="22"/>
        </w:rPr>
      </w:pPr>
      <w:r>
        <w:rPr>
          <w:rFonts w:ascii="Palatino Linotype" w:hAnsi="Palatino Linotype" w:cs="Arial"/>
          <w:bCs/>
          <w:i/>
          <w:noProof/>
          <w:sz w:val="22"/>
        </w:rPr>
        <w:t>II. Deudas contraídas con las instituciones públicas o dependencias por concepto de anticipos de sueldo, pagos hechos con exceso, errores o pérdidas debidamente comprobados;</w:t>
      </w:r>
    </w:p>
    <w:p w14:paraId="2A240AD8" w14:textId="77777777" w:rsidR="00C6606E" w:rsidRDefault="00C6606E" w:rsidP="00C6606E">
      <w:pPr>
        <w:spacing w:before="240" w:after="240"/>
        <w:ind w:left="851" w:right="900"/>
        <w:jc w:val="both"/>
        <w:rPr>
          <w:rFonts w:ascii="Palatino Linotype" w:hAnsi="Palatino Linotype" w:cs="Arial"/>
          <w:bCs/>
          <w:i/>
          <w:noProof/>
          <w:sz w:val="22"/>
        </w:rPr>
      </w:pPr>
      <w:r>
        <w:rPr>
          <w:rFonts w:ascii="Palatino Linotype" w:hAnsi="Palatino Linotype" w:cs="Arial"/>
          <w:bCs/>
          <w:i/>
          <w:noProof/>
          <w:sz w:val="22"/>
        </w:rPr>
        <w:t>III. Cuotas sindicales;</w:t>
      </w:r>
    </w:p>
    <w:p w14:paraId="43C0DC2E" w14:textId="77777777" w:rsidR="00C6606E" w:rsidRDefault="00C6606E" w:rsidP="00C6606E">
      <w:pPr>
        <w:spacing w:before="240" w:after="240"/>
        <w:ind w:left="851" w:right="900"/>
        <w:jc w:val="both"/>
        <w:rPr>
          <w:rFonts w:ascii="Palatino Linotype" w:hAnsi="Palatino Linotype" w:cs="Arial"/>
          <w:bCs/>
          <w:i/>
          <w:noProof/>
          <w:sz w:val="22"/>
        </w:rPr>
      </w:pPr>
      <w:r>
        <w:rPr>
          <w:rFonts w:ascii="Palatino Linotype" w:hAnsi="Palatino Linotype" w:cs="Arial"/>
          <w:bCs/>
          <w:i/>
          <w:noProof/>
          <w:sz w:val="22"/>
        </w:rPr>
        <w:t>IV. Cuotas de aportación a fondos para la constitución de cooperativas y de cajas de ahorro, siempre que el servidor público hubiese manifestado previamente, de manera expresa, su conformidad;</w:t>
      </w:r>
    </w:p>
    <w:p w14:paraId="58CBB723" w14:textId="77777777" w:rsidR="00C6606E" w:rsidRDefault="00C6606E" w:rsidP="00C6606E">
      <w:pPr>
        <w:spacing w:before="240" w:after="240"/>
        <w:ind w:left="851" w:right="900"/>
        <w:jc w:val="both"/>
        <w:rPr>
          <w:rFonts w:ascii="Palatino Linotype" w:hAnsi="Palatino Linotype" w:cs="Arial"/>
          <w:bCs/>
          <w:i/>
          <w:noProof/>
          <w:sz w:val="22"/>
        </w:rPr>
      </w:pPr>
      <w:r>
        <w:rPr>
          <w:rFonts w:ascii="Palatino Linotype" w:hAnsi="Palatino Linotype" w:cs="Arial"/>
          <w:bCs/>
          <w:i/>
          <w:noProof/>
          <w:sz w:val="22"/>
        </w:rPr>
        <w:lastRenderedPageBreak/>
        <w:t>V. Descuentos ordenados por el Instituto de Seguridad Social del Estado de México y Municipios, con motivo de cuotas y obligaciones contraídas con éste por los servidores públicos;</w:t>
      </w:r>
    </w:p>
    <w:p w14:paraId="1A3D9F2C" w14:textId="77777777" w:rsidR="00C6606E" w:rsidRDefault="00C6606E" w:rsidP="00C6606E">
      <w:pPr>
        <w:spacing w:before="240" w:after="240"/>
        <w:ind w:left="851" w:right="900"/>
        <w:jc w:val="both"/>
        <w:rPr>
          <w:rFonts w:ascii="Palatino Linotype" w:hAnsi="Palatino Linotype" w:cs="Arial"/>
          <w:bCs/>
          <w:i/>
          <w:noProof/>
          <w:sz w:val="22"/>
        </w:rPr>
      </w:pPr>
      <w:r>
        <w:rPr>
          <w:rFonts w:ascii="Palatino Linotype" w:hAnsi="Palatino Linotype" w:cs="Arial"/>
          <w:bCs/>
          <w:i/>
          <w:noProof/>
          <w:sz w:val="22"/>
        </w:rPr>
        <w:t>VI. Obligaciones a cargo del servidor público con las que haya consentido, derivadas de la adquisición o del uso de habitaciones consideradas como de interés social;</w:t>
      </w:r>
    </w:p>
    <w:p w14:paraId="49100C36" w14:textId="77777777" w:rsidR="00C6606E" w:rsidRDefault="00C6606E" w:rsidP="00C6606E">
      <w:pPr>
        <w:spacing w:before="240" w:after="240"/>
        <w:ind w:left="851" w:right="900"/>
        <w:jc w:val="both"/>
        <w:rPr>
          <w:rFonts w:ascii="Palatino Linotype" w:hAnsi="Palatino Linotype" w:cs="Arial"/>
          <w:bCs/>
          <w:i/>
          <w:noProof/>
          <w:sz w:val="22"/>
        </w:rPr>
      </w:pPr>
      <w:r>
        <w:rPr>
          <w:rFonts w:ascii="Palatino Linotype" w:hAnsi="Palatino Linotype" w:cs="Arial"/>
          <w:bCs/>
          <w:i/>
          <w:noProof/>
          <w:sz w:val="22"/>
        </w:rPr>
        <w:t>VII. Faltas de puntualidad o de asistencia injustificadas;</w:t>
      </w:r>
    </w:p>
    <w:p w14:paraId="07B15A6C" w14:textId="77777777" w:rsidR="00C6606E" w:rsidRDefault="00C6606E" w:rsidP="00C6606E">
      <w:pPr>
        <w:spacing w:before="240" w:after="240"/>
        <w:ind w:left="851" w:right="900"/>
        <w:jc w:val="both"/>
        <w:rPr>
          <w:rFonts w:ascii="Palatino Linotype" w:hAnsi="Palatino Linotype" w:cs="Arial"/>
          <w:bCs/>
          <w:i/>
          <w:noProof/>
          <w:sz w:val="22"/>
        </w:rPr>
      </w:pPr>
      <w:r>
        <w:rPr>
          <w:rFonts w:ascii="Palatino Linotype" w:hAnsi="Palatino Linotype" w:cs="Arial"/>
          <w:b/>
          <w:bCs/>
          <w:i/>
          <w:noProof/>
          <w:sz w:val="22"/>
        </w:rPr>
        <w:t>VIII. Pensiones alimenticias ordenadas por la autoridad judicial;</w:t>
      </w:r>
      <w:r>
        <w:rPr>
          <w:rFonts w:ascii="Palatino Linotype" w:hAnsi="Palatino Linotype" w:cs="Arial"/>
          <w:bCs/>
          <w:i/>
          <w:noProof/>
          <w:sz w:val="22"/>
        </w:rPr>
        <w:t xml:space="preserve"> o</w:t>
      </w:r>
    </w:p>
    <w:p w14:paraId="39E69CCE" w14:textId="77777777" w:rsidR="00C6606E" w:rsidRDefault="00C6606E" w:rsidP="00C6606E">
      <w:pPr>
        <w:spacing w:before="240" w:after="240"/>
        <w:ind w:left="851" w:right="900"/>
        <w:jc w:val="both"/>
        <w:rPr>
          <w:rFonts w:ascii="Palatino Linotype" w:hAnsi="Palatino Linotype" w:cs="Arial"/>
          <w:b/>
          <w:bCs/>
          <w:i/>
          <w:noProof/>
          <w:sz w:val="22"/>
        </w:rPr>
      </w:pPr>
      <w:r>
        <w:rPr>
          <w:rFonts w:ascii="Palatino Linotype" w:hAnsi="Palatino Linotype" w:cs="Arial"/>
          <w:b/>
          <w:bCs/>
          <w:i/>
          <w:noProof/>
          <w:sz w:val="22"/>
        </w:rPr>
        <w:t>IX. Cualquier otro convenido con instituciones de servicios y aceptado por el servidor público.</w:t>
      </w:r>
    </w:p>
    <w:p w14:paraId="5F1A4DD2" w14:textId="77777777" w:rsidR="00C6606E" w:rsidRDefault="00C6606E" w:rsidP="00C6606E">
      <w:pPr>
        <w:spacing w:before="240" w:after="240"/>
        <w:ind w:left="851" w:right="900"/>
        <w:jc w:val="both"/>
        <w:rPr>
          <w:rFonts w:ascii="Palatino Linotype" w:hAnsi="Palatino Linotype" w:cs="Arial"/>
          <w:bCs/>
          <w:i/>
          <w:noProof/>
          <w:sz w:val="22"/>
        </w:rPr>
      </w:pPr>
      <w:r>
        <w:rPr>
          <w:rFonts w:ascii="Palatino Linotype" w:hAnsi="Palatino Linotype" w:cs="Arial"/>
          <w:bCs/>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0F2859F8" w14:textId="77777777" w:rsidR="00C6606E" w:rsidRDefault="00C6606E" w:rsidP="00C6606E">
      <w:pPr>
        <w:spacing w:before="240" w:after="240" w:line="360" w:lineRule="auto"/>
        <w:jc w:val="both"/>
        <w:rPr>
          <w:rFonts w:ascii="Palatino Linotype" w:hAnsi="Palatino Linotype" w:cs="Arial"/>
          <w:lang w:val="es-MX"/>
        </w:rPr>
      </w:pPr>
      <w:r>
        <w:rPr>
          <w:rFonts w:ascii="Palatino Linotype" w:hAnsi="Palatino Linotype" w:cs="Arial"/>
          <w:lang w:val="es-MX"/>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35984495" w14:textId="77777777" w:rsidR="00C6606E" w:rsidRDefault="00C6606E" w:rsidP="00C6606E">
      <w:pPr>
        <w:spacing w:before="240" w:after="240" w:line="360" w:lineRule="auto"/>
        <w:jc w:val="both"/>
        <w:rPr>
          <w:rFonts w:ascii="Palatino Linotype" w:hAnsi="Palatino Linotype" w:cs="Arial"/>
        </w:rPr>
      </w:pPr>
      <w:r>
        <w:rPr>
          <w:rFonts w:ascii="Palatino Linotype" w:hAnsi="Palatino Linotype" w:cs="Arial"/>
          <w:lang w:eastAsia="es-MX"/>
        </w:rPr>
        <w:t xml:space="preserve">Igualmente, </w:t>
      </w:r>
      <w:r>
        <w:rPr>
          <w:rFonts w:ascii="Palatino Linotype" w:hAnsi="Palatino Linotype" w:cs="Arial"/>
        </w:rPr>
        <w:t xml:space="preserve">resulta importante destacar que </w:t>
      </w:r>
      <w:r w:rsidRPr="00512A44">
        <w:rPr>
          <w:rFonts w:ascii="Palatino Linotype" w:hAnsi="Palatino Linotype" w:cs="Arial"/>
        </w:rPr>
        <w:t>el n</w:t>
      </w:r>
      <w:r>
        <w:rPr>
          <w:rFonts w:ascii="Palatino Linotype" w:hAnsi="Palatino Linotype" w:cs="Arial"/>
        </w:rPr>
        <w:t>úmero de cuenta bancaria de las personas físicas</w:t>
      </w:r>
      <w:r w:rsidRPr="00512A44">
        <w:rPr>
          <w:rFonts w:ascii="Palatino Linotype" w:hAnsi="Palatino Linotype" w:cs="Arial"/>
        </w:rPr>
        <w:t xml:space="preserve"> </w:t>
      </w:r>
      <w:r>
        <w:rPr>
          <w:rFonts w:ascii="Palatino Linotype" w:hAnsi="Palatino Linotype" w:cs="Arial"/>
        </w:rPr>
        <w:t>es</w:t>
      </w:r>
      <w:r w:rsidRPr="00512A44">
        <w:rPr>
          <w:rFonts w:ascii="Palatino Linotype" w:hAnsi="Palatino Linotype" w:cs="Arial"/>
        </w:rPr>
        <w:t xml:space="preserve"> información que sólo su titular o personas autorizadas </w:t>
      </w:r>
      <w:r>
        <w:rPr>
          <w:rFonts w:ascii="Palatino Linotype" w:hAnsi="Palatino Linotype" w:cs="Arial"/>
        </w:rPr>
        <w:t>poseen</w:t>
      </w:r>
      <w:r w:rsidRPr="00512A44">
        <w:rPr>
          <w:rFonts w:ascii="Palatino Linotype" w:hAnsi="Palatino Linotype" w:cs="Arial"/>
        </w:rPr>
        <w:t xml:space="preserve"> para el acceso o consulta de información patrimonial, </w:t>
      </w:r>
      <w:r>
        <w:rPr>
          <w:rFonts w:ascii="Palatino Linotype" w:hAnsi="Palatino Linotype" w:cs="Arial"/>
        </w:rPr>
        <w:t>o para</w:t>
      </w:r>
      <w:r w:rsidRPr="00512A44">
        <w:rPr>
          <w:rFonts w:ascii="Palatino Linotype" w:hAnsi="Palatino Linotype" w:cs="Arial"/>
        </w:rPr>
        <w:t xml:space="preserve"> la realización de </w:t>
      </w:r>
      <w:r w:rsidRPr="00512A44">
        <w:rPr>
          <w:rFonts w:ascii="Palatino Linotype" w:hAnsi="Palatino Linotype" w:cs="Arial"/>
        </w:rPr>
        <w:lastRenderedPageBreak/>
        <w:t xml:space="preserve">operaciones bancarias de diversa </w:t>
      </w:r>
      <w:r>
        <w:rPr>
          <w:rFonts w:ascii="Palatino Linotype" w:hAnsi="Palatino Linotype" w:cs="Arial"/>
        </w:rPr>
        <w:t>naturaleza</w:t>
      </w:r>
      <w:r w:rsidRPr="00512A44">
        <w:rPr>
          <w:rFonts w:ascii="Palatino Linotype" w:hAnsi="Palatino Linotype" w:cs="Arial"/>
        </w:rPr>
        <w:t xml:space="preserve">, por lo que la difusión pública del mismo facilitaría </w:t>
      </w:r>
      <w:r>
        <w:rPr>
          <w:rFonts w:ascii="Palatino Linotype" w:hAnsi="Palatino Linotype" w:cs="Arial"/>
        </w:rPr>
        <w:t>la afectación al</w:t>
      </w:r>
      <w:r w:rsidRPr="00512A44">
        <w:rPr>
          <w:rFonts w:ascii="Palatino Linotype" w:hAnsi="Palatino Linotype" w:cs="Arial"/>
        </w:rPr>
        <w:t xml:space="preserve"> patrimonio del titular de la cuenta</w:t>
      </w:r>
      <w:r>
        <w:rPr>
          <w:rFonts w:ascii="Palatino Linotype" w:hAnsi="Palatino Linotype" w:cs="Arial"/>
        </w:rPr>
        <w:t>.</w:t>
      </w:r>
    </w:p>
    <w:p w14:paraId="2D8BD36F" w14:textId="77777777" w:rsidR="00C6606E" w:rsidRPr="00512A44" w:rsidRDefault="00C6606E" w:rsidP="00C6606E">
      <w:pPr>
        <w:spacing w:before="240" w:after="240" w:line="360" w:lineRule="auto"/>
        <w:jc w:val="both"/>
        <w:rPr>
          <w:rFonts w:ascii="Palatino Linotype" w:hAnsi="Palatino Linotype" w:cs="Arial"/>
        </w:rPr>
      </w:pPr>
      <w:r w:rsidRPr="00512A44">
        <w:rPr>
          <w:rFonts w:ascii="Palatino Linotype" w:hAnsi="Palatino Linotype" w:cs="Arial"/>
        </w:rPr>
        <w:t>Por lo anterior</w:t>
      </w:r>
      <w:r>
        <w:rPr>
          <w:rFonts w:ascii="Palatino Linotype" w:hAnsi="Palatino Linotype" w:cs="Arial"/>
        </w:rPr>
        <w:t>, el número de cuenta bancaria</w:t>
      </w:r>
      <w:r w:rsidRPr="00512A44">
        <w:rPr>
          <w:rFonts w:ascii="Palatino Linotype" w:hAnsi="Palatino Linotype" w:cs="Arial"/>
        </w:rPr>
        <w:t xml:space="preserve"> </w:t>
      </w:r>
      <w:r>
        <w:rPr>
          <w:rFonts w:ascii="Palatino Linotype" w:hAnsi="Palatino Linotype" w:cs="Arial"/>
        </w:rPr>
        <w:t>debe ser</w:t>
      </w:r>
      <w:r w:rsidRPr="00512A44">
        <w:rPr>
          <w:rFonts w:ascii="Palatino Linotype" w:hAnsi="Palatino Linotype" w:cs="Arial"/>
        </w:rPr>
        <w:t xml:space="preserve"> clasificado como </w:t>
      </w:r>
      <w:r>
        <w:rPr>
          <w:rFonts w:ascii="Palatino Linotype" w:hAnsi="Palatino Linotype" w:cs="Arial"/>
        </w:rPr>
        <w:t xml:space="preserve">confidencial con fundamento en la fracciones I y II del artículo 143 de la Ley de la Materia vigente en la Entidad; </w:t>
      </w:r>
      <w:r w:rsidRPr="00512A44">
        <w:rPr>
          <w:rFonts w:ascii="Palatino Linotype" w:hAnsi="Palatino Linotype" w:cs="Arial"/>
        </w:rPr>
        <w:t xml:space="preserve">en razón de que con su difusión se estaría </w:t>
      </w:r>
      <w:r>
        <w:rPr>
          <w:rFonts w:ascii="Palatino Linotype" w:hAnsi="Palatino Linotype" w:cs="Arial"/>
        </w:rPr>
        <w:t>poniendo en riesgo la seguridad de su titular.</w:t>
      </w:r>
    </w:p>
    <w:p w14:paraId="683B1D51" w14:textId="77777777" w:rsidR="00C6606E" w:rsidRPr="00360390" w:rsidRDefault="00C6606E" w:rsidP="00C6606E">
      <w:pPr>
        <w:spacing w:before="240" w:after="240" w:line="360" w:lineRule="auto"/>
        <w:ind w:right="49"/>
        <w:jc w:val="both"/>
        <w:rPr>
          <w:rFonts w:ascii="Palatino Linotype" w:hAnsi="Palatino Linotype"/>
        </w:rPr>
      </w:pPr>
      <w:r w:rsidRPr="00360390">
        <w:rPr>
          <w:rFonts w:ascii="Palatino Linotype" w:hAnsi="Palatino Linotype"/>
        </w:rPr>
        <w:t>Lo anterior, no es así tratándose de las cuentas bancarias o claves interbancarias de los Sujetos Obligados ya que su publicidad cede a la rendición de cuentas al transparentar la forma en que son transparentados los recursos públicos.</w:t>
      </w:r>
    </w:p>
    <w:p w14:paraId="3EE09E04" w14:textId="77777777" w:rsidR="00C6606E" w:rsidRPr="00360390" w:rsidRDefault="00C6606E" w:rsidP="00C6606E">
      <w:pPr>
        <w:spacing w:before="240" w:after="240" w:line="360" w:lineRule="auto"/>
        <w:ind w:right="49"/>
        <w:jc w:val="both"/>
        <w:rPr>
          <w:rFonts w:ascii="Palatino Linotype" w:hAnsi="Palatino Linotype"/>
        </w:rPr>
      </w:pPr>
      <w:r w:rsidRPr="00360390">
        <w:rPr>
          <w:rFonts w:ascii="Palatino Linotype" w:hAnsi="Palatino Linotype"/>
        </w:rPr>
        <w:t>Lo argumentado encuentra sustento en los criterios 11/17 y 10/17 emitidos por el Instituto Nacional de Transparencia, Acceso a la Información y Protección de Datos Personales que llevan por rubro y texto los siguientes:</w:t>
      </w:r>
    </w:p>
    <w:p w14:paraId="4A1AE761" w14:textId="77777777" w:rsidR="00C6606E" w:rsidRPr="00C6606E" w:rsidRDefault="00C6606E" w:rsidP="00C6606E">
      <w:pPr>
        <w:spacing w:before="240" w:after="240"/>
        <w:ind w:left="851" w:right="900"/>
        <w:jc w:val="both"/>
        <w:rPr>
          <w:rFonts w:ascii="Palatino Linotype" w:hAnsi="Palatino Linotype"/>
          <w:i/>
          <w:sz w:val="22"/>
          <w:szCs w:val="22"/>
        </w:rPr>
      </w:pPr>
      <w:r w:rsidRPr="00C6606E">
        <w:rPr>
          <w:rFonts w:ascii="Palatino Linotype" w:hAnsi="Palatino Linotype"/>
          <w:b/>
          <w:i/>
          <w:sz w:val="22"/>
          <w:szCs w:val="22"/>
        </w:rPr>
        <w:t>Cuentas bancarias y/o CLABE interbancaria de sujetos obligados que reciben y/o transfieren recursos públicos, son información pública</w:t>
      </w:r>
      <w:r w:rsidRPr="00C6606E">
        <w:rPr>
          <w:rFonts w:ascii="Palatino Linotype" w:hAnsi="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2FB46DA" w14:textId="052B4B9C" w:rsidR="00C6606E" w:rsidRDefault="00C6606E" w:rsidP="00C6606E">
      <w:pPr>
        <w:spacing w:before="240" w:after="240"/>
        <w:ind w:left="851" w:right="900"/>
        <w:jc w:val="both"/>
        <w:rPr>
          <w:rFonts w:ascii="Palatino Linotype" w:hAnsi="Palatino Linotype" w:cs="Arial"/>
          <w:lang w:val="es-MX"/>
        </w:rPr>
      </w:pPr>
      <w:r w:rsidRPr="00C6606E">
        <w:rPr>
          <w:rFonts w:ascii="Palatino Linotype" w:hAnsi="Palatino Linotype"/>
          <w:b/>
          <w:i/>
          <w:sz w:val="22"/>
          <w:szCs w:val="22"/>
        </w:rPr>
        <w:t>Cuentas bancarias y/o CLABE interbancaria de personas físicas y morales privadas.</w:t>
      </w:r>
      <w:r w:rsidRPr="00C6606E">
        <w:rPr>
          <w:rFonts w:ascii="Palatino Linotype" w:hAnsi="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A10290E" w14:textId="51B5FCB7" w:rsidR="00C6606E" w:rsidRPr="00B926E3" w:rsidRDefault="00C6606E" w:rsidP="00C6606E">
      <w:pPr>
        <w:autoSpaceDE w:val="0"/>
        <w:autoSpaceDN w:val="0"/>
        <w:adjustRightInd w:val="0"/>
        <w:spacing w:before="240" w:after="360" w:line="360" w:lineRule="auto"/>
        <w:jc w:val="both"/>
        <w:rPr>
          <w:rFonts w:ascii="Palatino Linotype" w:hAnsi="Palatino Linotype" w:cs="Arial"/>
          <w:lang w:eastAsia="es-MX"/>
        </w:rPr>
      </w:pPr>
      <w:r>
        <w:rPr>
          <w:rFonts w:ascii="Palatino Linotype" w:hAnsi="Palatino Linotype" w:cs="Arial"/>
          <w:lang w:val="es-MX"/>
        </w:rPr>
        <w:lastRenderedPageBreak/>
        <w:t xml:space="preserve">Aunado a ello, </w:t>
      </w:r>
      <w:r w:rsidRPr="00B926E3">
        <w:rPr>
          <w:rFonts w:ascii="Palatino Linotype" w:hAnsi="Palatino Linotype" w:cs="Arial"/>
          <w:lang w:eastAsia="es-MX"/>
        </w:rPr>
        <w:t xml:space="preserve">no pasa desapercibido para este Órgano de Legalidad que </w:t>
      </w:r>
      <w:r>
        <w:rPr>
          <w:rFonts w:ascii="Palatino Linotype" w:hAnsi="Palatino Linotype" w:cs="Arial"/>
          <w:lang w:eastAsia="es-MX"/>
        </w:rPr>
        <w:t>de acuerdo al</w:t>
      </w:r>
      <w:r w:rsidRPr="00B926E3">
        <w:rPr>
          <w:rFonts w:ascii="Palatino Linotype" w:hAnsi="Palatino Linotype" w:cs="Arial"/>
          <w:lang w:eastAsia="es-MX"/>
        </w:rPr>
        <w:t xml:space="preserve"> artículo</w:t>
      </w:r>
      <w:r>
        <w:rPr>
          <w:rFonts w:ascii="Palatino Linotype" w:hAnsi="Palatino Linotype" w:cs="Arial"/>
          <w:lang w:eastAsia="es-MX"/>
        </w:rPr>
        <w:t xml:space="preserve"> 33, fracción V del Bando Municipal del Ayuntamiento de Melchor Ocampo se contempla a la </w:t>
      </w:r>
      <w:r>
        <w:rPr>
          <w:rFonts w:ascii="Palatino Linotype" w:hAnsi="Palatino Linotype"/>
          <w:i/>
        </w:rPr>
        <w:t>Comisaría de Seguridad Pública y Vialidad</w:t>
      </w:r>
      <w:r>
        <w:rPr>
          <w:rFonts w:ascii="Palatino Linotype" w:hAnsi="Palatino Linotype" w:cs="Arial"/>
          <w:i/>
          <w:lang w:eastAsia="es-MX"/>
        </w:rPr>
        <w:t>,</w:t>
      </w:r>
      <w:r>
        <w:rPr>
          <w:rFonts w:ascii="Palatino Linotype" w:hAnsi="Palatino Linotype" w:cs="Arial"/>
          <w:lang w:eastAsia="es-MX"/>
        </w:rPr>
        <w:t xml:space="preserve"> por lo que</w:t>
      </w:r>
      <w:r w:rsidRPr="00B926E3">
        <w:rPr>
          <w:rFonts w:ascii="Palatino Linotype" w:hAnsi="Palatino Linotype" w:cs="Arial"/>
          <w:lang w:eastAsia="es-MX"/>
        </w:rPr>
        <w:t xml:space="preserve"> ha de destacarse que </w:t>
      </w:r>
      <w:r>
        <w:rPr>
          <w:rFonts w:ascii="Palatino Linotype" w:hAnsi="Palatino Linotype" w:cs="Arial"/>
          <w:lang w:eastAsia="es-MX"/>
        </w:rPr>
        <w:t>e</w:t>
      </w:r>
      <w:r w:rsidRPr="00B926E3">
        <w:rPr>
          <w:rFonts w:ascii="Palatino Linotype" w:hAnsi="Palatino Linotype" w:cs="Arial"/>
          <w:lang w:eastAsia="es-MX"/>
        </w:rPr>
        <w:t xml:space="preserve">l artículo 91 de la Ley </w:t>
      </w:r>
      <w:r>
        <w:rPr>
          <w:rFonts w:ascii="Palatino Linotype" w:hAnsi="Palatino Linotype" w:cs="Arial"/>
          <w:lang w:eastAsia="es-MX"/>
        </w:rPr>
        <w:t>de la Materia</w:t>
      </w:r>
      <w:r w:rsidRPr="00B926E3">
        <w:rPr>
          <w:rFonts w:ascii="Palatino Linotype" w:hAnsi="Palatino Linotype" w:cs="Arial"/>
          <w:lang w:eastAsia="es-MX"/>
        </w:rPr>
        <w:t>,</w:t>
      </w:r>
      <w:r>
        <w:rPr>
          <w:rFonts w:ascii="Palatino Linotype" w:hAnsi="Palatino Linotype" w:cs="Arial"/>
          <w:lang w:eastAsia="es-MX"/>
        </w:rPr>
        <w:t xml:space="preserve"> dispone que</w:t>
      </w:r>
      <w:r w:rsidRPr="00B926E3">
        <w:rPr>
          <w:rFonts w:ascii="Palatino Linotype" w:hAnsi="Palatino Linotype" w:cs="Arial"/>
          <w:lang w:eastAsia="es-MX"/>
        </w:rPr>
        <w:t xml:space="preserve"> el acceso a la información pública será restringido excepcionalmente, cuando ésta sea clasificada como reservada o confidencial.</w:t>
      </w:r>
      <w:r>
        <w:rPr>
          <w:rFonts w:ascii="Palatino Linotype" w:hAnsi="Palatino Linotype" w:cs="Arial"/>
          <w:lang w:eastAsia="es-MX"/>
        </w:rPr>
        <w:t xml:space="preserve"> Respecto de ello se destaca que a criterio de este Instituto la información relativa al nombre de los servidores públicos que ocupan un cargo en las dependencias de gobierno encargadas de la seguridad pública, debe ser objeto de </w:t>
      </w:r>
      <w:r w:rsidRPr="00B926E3">
        <w:rPr>
          <w:rFonts w:ascii="Palatino Linotype" w:hAnsi="Palatino Linotype" w:cs="Arial"/>
          <w:lang w:eastAsia="es-MX"/>
        </w:rPr>
        <w:t xml:space="preserve">un proceso de disociación, </w:t>
      </w:r>
      <w:r>
        <w:rPr>
          <w:rFonts w:ascii="Palatino Linotype" w:hAnsi="Palatino Linotype" w:cs="Arial"/>
          <w:lang w:eastAsia="es-MX"/>
        </w:rPr>
        <w:t>para no hacer</w:t>
      </w:r>
      <w:r w:rsidRPr="00B926E3">
        <w:rPr>
          <w:rFonts w:ascii="Palatino Linotype" w:hAnsi="Palatino Linotype" w:cs="Arial"/>
          <w:lang w:eastAsia="es-MX"/>
        </w:rPr>
        <w:t xml:space="preserve"> identificable al tit</w:t>
      </w:r>
      <w:r>
        <w:rPr>
          <w:rFonts w:ascii="Palatino Linotype" w:hAnsi="Palatino Linotype" w:cs="Arial"/>
          <w:lang w:eastAsia="es-MX"/>
        </w:rPr>
        <w:t>ular de tal</w:t>
      </w:r>
      <w:r w:rsidRPr="00B926E3">
        <w:rPr>
          <w:rFonts w:ascii="Palatino Linotype" w:hAnsi="Palatino Linotype" w:cs="Arial"/>
          <w:lang w:eastAsia="es-MX"/>
        </w:rPr>
        <w:t xml:space="preserve"> dato</w:t>
      </w:r>
      <w:r>
        <w:rPr>
          <w:rFonts w:ascii="Palatino Linotype" w:hAnsi="Palatino Linotype" w:cs="Arial"/>
          <w:lang w:eastAsia="es-MX"/>
        </w:rPr>
        <w:t xml:space="preserve"> personal</w:t>
      </w:r>
      <w:r w:rsidRPr="00B926E3">
        <w:rPr>
          <w:rFonts w:ascii="Palatino Linotype" w:hAnsi="Palatino Linotype" w:cs="Arial"/>
          <w:lang w:eastAsia="es-MX"/>
        </w:rPr>
        <w:t>.</w:t>
      </w:r>
    </w:p>
    <w:p w14:paraId="7903CD22" w14:textId="77777777" w:rsidR="00C6606E" w:rsidRPr="00B926E3" w:rsidRDefault="00C6606E" w:rsidP="00C6606E">
      <w:pPr>
        <w:autoSpaceDE w:val="0"/>
        <w:autoSpaceDN w:val="0"/>
        <w:adjustRightInd w:val="0"/>
        <w:spacing w:before="240" w:after="360" w:line="360" w:lineRule="auto"/>
        <w:jc w:val="both"/>
        <w:rPr>
          <w:rFonts w:ascii="Palatino Linotype" w:hAnsi="Palatino Linotype" w:cs="Arial"/>
          <w:lang w:eastAsia="es-MX"/>
        </w:rPr>
      </w:pPr>
      <w:r w:rsidRPr="00B926E3">
        <w:rPr>
          <w:rFonts w:ascii="Palatino Linotype" w:hAnsi="Palatino Linotype" w:cs="Arial"/>
          <w:lang w:eastAsia="es-MX"/>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14:paraId="21E18365" w14:textId="77777777" w:rsidR="00C6606E" w:rsidRPr="00B926E3" w:rsidRDefault="00C6606E" w:rsidP="00C6606E">
      <w:pPr>
        <w:autoSpaceDE w:val="0"/>
        <w:autoSpaceDN w:val="0"/>
        <w:adjustRightInd w:val="0"/>
        <w:spacing w:before="240" w:after="360"/>
        <w:ind w:left="993" w:right="1041"/>
        <w:jc w:val="both"/>
        <w:rPr>
          <w:rFonts w:ascii="Palatino Linotype" w:hAnsi="Palatino Linotype" w:cs="Arial"/>
          <w:lang w:eastAsia="es-MX"/>
        </w:rPr>
      </w:pPr>
      <w:r w:rsidRPr="00B926E3">
        <w:rPr>
          <w:rFonts w:ascii="Palatino Linotype" w:hAnsi="Palatino Linotype" w:cs="Arial"/>
          <w:i/>
          <w:sz w:val="22"/>
          <w:lang w:eastAsia="es-MX"/>
        </w:rPr>
        <w:t>“Disociación: Procedimiento mediante el cual los datos personales no pueden asociarse al titular, ni permitir por su estructura, contenido o grado de desagregación, la identificación individual del mismo;”</w:t>
      </w:r>
    </w:p>
    <w:p w14:paraId="637A7ED9" w14:textId="77777777" w:rsidR="00C6606E" w:rsidRPr="00B926E3" w:rsidRDefault="00C6606E" w:rsidP="00C6606E">
      <w:pPr>
        <w:autoSpaceDE w:val="0"/>
        <w:autoSpaceDN w:val="0"/>
        <w:adjustRightInd w:val="0"/>
        <w:spacing w:before="240" w:after="360" w:line="360" w:lineRule="auto"/>
        <w:jc w:val="both"/>
        <w:rPr>
          <w:rFonts w:ascii="Palatino Linotype" w:hAnsi="Palatino Linotype" w:cs="Arial"/>
          <w:lang w:eastAsia="es-MX"/>
        </w:rPr>
      </w:pPr>
      <w:r>
        <w:rPr>
          <w:rFonts w:ascii="Palatino Linotype" w:hAnsi="Palatino Linotype" w:cs="Arial"/>
          <w:lang w:eastAsia="es-MX"/>
        </w:rPr>
        <w:t>No obstante que si bien,</w:t>
      </w:r>
      <w:r w:rsidRPr="00B926E3">
        <w:rPr>
          <w:rFonts w:ascii="Palatino Linotype" w:hAnsi="Palatino Linotype" w:cs="Arial"/>
          <w:lang w:eastAsia="es-MX"/>
        </w:rPr>
        <w:t xml:space="preserve"> dentro de la </w:t>
      </w:r>
      <w:r w:rsidRPr="00B926E3">
        <w:rPr>
          <w:rFonts w:ascii="Palatino Linotype" w:hAnsi="Palatino Linotype" w:cs="Arial"/>
          <w:i/>
          <w:lang w:eastAsia="es-MX"/>
        </w:rPr>
        <w:t xml:space="preserve">nómina </w:t>
      </w:r>
      <w:r w:rsidRPr="00B926E3">
        <w:rPr>
          <w:rFonts w:ascii="Palatino Linotype" w:hAnsi="Palatino Linotype" w:cs="Arial"/>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w:t>
      </w:r>
      <w:r>
        <w:rPr>
          <w:rFonts w:ascii="Palatino Linotype" w:hAnsi="Palatino Linotype" w:cs="Arial"/>
          <w:lang w:eastAsia="es-MX"/>
        </w:rPr>
        <w:t>ya analizado</w:t>
      </w:r>
      <w:r w:rsidRPr="00B926E3">
        <w:rPr>
          <w:rFonts w:ascii="Palatino Linotype" w:hAnsi="Palatino Linotype" w:cs="Arial"/>
          <w:lang w:eastAsia="es-MX"/>
        </w:rPr>
        <w:t xml:space="preserve">, </w:t>
      </w:r>
      <w:r>
        <w:rPr>
          <w:rFonts w:ascii="Palatino Linotype" w:hAnsi="Palatino Linotype" w:cs="Arial"/>
          <w:lang w:eastAsia="es-MX"/>
        </w:rPr>
        <w:lastRenderedPageBreak/>
        <w:t>lo cierto es que</w:t>
      </w:r>
      <w:r w:rsidRPr="00B926E3">
        <w:rPr>
          <w:rFonts w:ascii="Palatino Linotype" w:hAnsi="Palatino Linotype" w:cs="Arial"/>
          <w:lang w:eastAsia="es-MX"/>
        </w:rPr>
        <w:t>, en lo que respecta a</w:t>
      </w:r>
      <w:r>
        <w:rPr>
          <w:rFonts w:ascii="Palatino Linotype" w:hAnsi="Palatino Linotype" w:cs="Arial"/>
          <w:lang w:eastAsia="es-MX"/>
        </w:rPr>
        <w:t xml:space="preserve"> la</w:t>
      </w:r>
      <w:r w:rsidRPr="00B926E3">
        <w:rPr>
          <w:rFonts w:ascii="Palatino Linotype" w:hAnsi="Palatino Linotype" w:cs="Arial"/>
          <w:lang w:eastAsia="es-MX"/>
        </w:rPr>
        <w:t xml:space="preserve"> </w:t>
      </w:r>
      <w:r w:rsidRPr="00B926E3">
        <w:rPr>
          <w:rFonts w:ascii="Palatino Linotype" w:hAnsi="Palatino Linotype" w:cs="Arial"/>
          <w:b/>
          <w:i/>
          <w:lang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p>
    <w:p w14:paraId="6D613DC5" w14:textId="77777777" w:rsidR="00C6606E" w:rsidRPr="00B926E3" w:rsidRDefault="00C6606E" w:rsidP="00C6606E">
      <w:pPr>
        <w:autoSpaceDE w:val="0"/>
        <w:autoSpaceDN w:val="0"/>
        <w:adjustRightInd w:val="0"/>
        <w:spacing w:before="240" w:after="360" w:line="360" w:lineRule="auto"/>
        <w:jc w:val="both"/>
        <w:rPr>
          <w:rFonts w:ascii="Palatino Linotype" w:hAnsi="Palatino Linotype" w:cs="Arial"/>
          <w:lang w:eastAsia="es-MX"/>
        </w:rPr>
      </w:pPr>
      <w:r w:rsidRPr="00B926E3">
        <w:rPr>
          <w:rFonts w:ascii="Palatino Linotype" w:hAnsi="Palatino Linotype" w:cs="Arial"/>
          <w:lang w:eastAsia="es-MX"/>
        </w:rPr>
        <w:t xml:space="preserve">Esto es así, ya que el artículo 81 fracción III de la Ley de Seguridad del Estado de México, establece lo siguiente: </w:t>
      </w:r>
    </w:p>
    <w:p w14:paraId="468BA0D5" w14:textId="77777777" w:rsidR="00C6606E" w:rsidRPr="00B926E3" w:rsidRDefault="00C6606E" w:rsidP="00C6606E">
      <w:pPr>
        <w:autoSpaceDE w:val="0"/>
        <w:autoSpaceDN w:val="0"/>
        <w:adjustRightInd w:val="0"/>
        <w:spacing w:before="240" w:after="360"/>
        <w:ind w:left="851" w:right="900"/>
        <w:jc w:val="both"/>
        <w:rPr>
          <w:rFonts w:ascii="Palatino Linotype" w:hAnsi="Palatino Linotype" w:cs="Arial"/>
          <w:i/>
          <w:sz w:val="22"/>
          <w:lang w:eastAsia="es-MX"/>
        </w:rPr>
      </w:pPr>
      <w:r w:rsidRPr="00B926E3">
        <w:rPr>
          <w:rFonts w:ascii="Palatino Linotype" w:hAnsi="Palatino Linotype" w:cs="Arial"/>
          <w:i/>
          <w:sz w:val="22"/>
          <w:lang w:eastAsia="es-MX"/>
        </w:rPr>
        <w:t>“</w:t>
      </w:r>
      <w:r w:rsidRPr="001E206A">
        <w:rPr>
          <w:rFonts w:ascii="Palatino Linotype" w:hAnsi="Palatino Linotype" w:cs="Arial"/>
          <w:b/>
          <w:i/>
          <w:sz w:val="22"/>
          <w:lang w:eastAsia="es-MX"/>
        </w:rPr>
        <w:t>Artículo 81</w:t>
      </w:r>
      <w:r w:rsidRPr="00B926E3">
        <w:rPr>
          <w:rFonts w:ascii="Palatino Linotype" w:hAnsi="Palatino Linotype" w:cs="Arial"/>
          <w:i/>
          <w:sz w:val="22"/>
          <w:lang w:eastAsia="es-MX"/>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75A5E55D" w14:textId="77777777" w:rsidR="00C6606E" w:rsidRPr="00B926E3" w:rsidRDefault="00C6606E" w:rsidP="00C6606E">
      <w:pPr>
        <w:autoSpaceDE w:val="0"/>
        <w:autoSpaceDN w:val="0"/>
        <w:adjustRightInd w:val="0"/>
        <w:spacing w:before="240" w:after="360"/>
        <w:ind w:left="851" w:right="900"/>
        <w:jc w:val="both"/>
        <w:rPr>
          <w:rFonts w:ascii="Palatino Linotype" w:hAnsi="Palatino Linotype" w:cs="Arial"/>
          <w:i/>
          <w:sz w:val="22"/>
          <w:lang w:eastAsia="es-MX"/>
        </w:rPr>
      </w:pPr>
      <w:r>
        <w:rPr>
          <w:rFonts w:ascii="Palatino Linotype" w:hAnsi="Palatino Linotype" w:cs="Arial"/>
          <w:i/>
          <w:sz w:val="22"/>
          <w:lang w:eastAsia="es-MX"/>
        </w:rPr>
        <w:t>(</w:t>
      </w:r>
      <w:r w:rsidRPr="00B926E3">
        <w:rPr>
          <w:rFonts w:ascii="Palatino Linotype" w:hAnsi="Palatino Linotype" w:cs="Arial"/>
          <w:i/>
          <w:sz w:val="22"/>
          <w:lang w:eastAsia="es-MX"/>
        </w:rPr>
        <w:t>…</w:t>
      </w:r>
      <w:r>
        <w:rPr>
          <w:rFonts w:ascii="Palatino Linotype" w:hAnsi="Palatino Linotype" w:cs="Arial"/>
          <w:i/>
          <w:sz w:val="22"/>
          <w:lang w:eastAsia="es-MX"/>
        </w:rPr>
        <w:t>)</w:t>
      </w:r>
    </w:p>
    <w:p w14:paraId="785D26C1" w14:textId="77777777" w:rsidR="00C6606E" w:rsidRPr="00B926E3" w:rsidRDefault="00C6606E" w:rsidP="00C6606E">
      <w:pPr>
        <w:autoSpaceDE w:val="0"/>
        <w:autoSpaceDN w:val="0"/>
        <w:adjustRightInd w:val="0"/>
        <w:spacing w:before="240" w:after="360"/>
        <w:ind w:left="851" w:right="900"/>
        <w:jc w:val="both"/>
        <w:rPr>
          <w:rFonts w:ascii="Palatino Linotype" w:hAnsi="Palatino Linotype" w:cs="Arial"/>
          <w:lang w:eastAsia="es-MX"/>
        </w:rPr>
      </w:pPr>
      <w:r w:rsidRPr="00B926E3">
        <w:rPr>
          <w:rFonts w:ascii="Palatino Linotype" w:hAnsi="Palatino Linotype" w:cs="Arial"/>
          <w:i/>
          <w:sz w:val="22"/>
          <w:lang w:eastAsia="es-MX"/>
        </w:rPr>
        <w:t>III. La relativa a servidores públicos miembros de las instituciones de seguridad pública, cuya revelación pueda poner en riesgo su vida e integridad física con motivo de sus funciones;”</w:t>
      </w:r>
    </w:p>
    <w:p w14:paraId="28A4B1A0" w14:textId="77777777" w:rsidR="00C6606E" w:rsidRPr="00B926E3" w:rsidRDefault="00C6606E" w:rsidP="00C6606E">
      <w:pPr>
        <w:autoSpaceDE w:val="0"/>
        <w:autoSpaceDN w:val="0"/>
        <w:adjustRightInd w:val="0"/>
        <w:spacing w:before="240" w:after="360" w:line="360" w:lineRule="auto"/>
        <w:jc w:val="both"/>
        <w:rPr>
          <w:rFonts w:ascii="Palatino Linotype" w:hAnsi="Palatino Linotype" w:cs="Arial"/>
          <w:lang w:eastAsia="es-MX"/>
        </w:rPr>
      </w:pPr>
      <w:r w:rsidRPr="00B926E3">
        <w:rPr>
          <w:rFonts w:ascii="Palatino Linotype" w:hAnsi="Palatino Linotype" w:cs="Arial"/>
          <w:lang w:eastAsia="es-MX"/>
        </w:rPr>
        <w:t>Por tanto, el Sujeto Obligado deberá identificar si dicho supuesto es factible de aplicarse, justificado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13F162C" w14:textId="77777777" w:rsidR="00C6606E" w:rsidRPr="00B926E3" w:rsidRDefault="00C6606E" w:rsidP="00C6606E">
      <w:pPr>
        <w:autoSpaceDE w:val="0"/>
        <w:autoSpaceDN w:val="0"/>
        <w:adjustRightInd w:val="0"/>
        <w:spacing w:before="240" w:after="360" w:line="360" w:lineRule="auto"/>
        <w:jc w:val="both"/>
        <w:rPr>
          <w:rFonts w:ascii="Palatino Linotype" w:hAnsi="Palatino Linotype" w:cs="Arial"/>
          <w:lang w:eastAsia="es-MX"/>
        </w:rPr>
      </w:pPr>
      <w:r w:rsidRPr="00B926E3">
        <w:rPr>
          <w:rFonts w:ascii="Palatino Linotype" w:hAnsi="Palatino Linotype" w:cs="Arial"/>
          <w:lang w:eastAsia="es-MX"/>
        </w:rPr>
        <w:lastRenderedPageBreak/>
        <w:t>Es decir, podrá eliminar cualquier información considerada no confidencial,</w:t>
      </w:r>
      <w:r>
        <w:rPr>
          <w:rFonts w:ascii="Palatino Linotype" w:hAnsi="Palatino Linotype" w:cs="Arial"/>
          <w:lang w:eastAsia="es-MX"/>
        </w:rPr>
        <w:t xml:space="preserve"> de los elementos de seguridad pública,</w:t>
      </w:r>
      <w:r w:rsidRPr="00B926E3">
        <w:rPr>
          <w:rFonts w:ascii="Palatino Linotype" w:hAnsi="Palatino Linotype" w:cs="Arial"/>
          <w:lang w:eastAsia="es-MX"/>
        </w:rPr>
        <w:t xml:space="preserve">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7C428806" w14:textId="77777777" w:rsidR="00C6606E" w:rsidRPr="008F2BA9" w:rsidRDefault="00C6606E" w:rsidP="00C6606E">
      <w:pPr>
        <w:spacing w:before="240" w:after="240" w:line="360" w:lineRule="auto"/>
        <w:jc w:val="both"/>
        <w:rPr>
          <w:rFonts w:ascii="Palatino Linotype" w:hAnsi="Palatino Linotype" w:cs="Arial"/>
          <w:lang w:val="es-MX"/>
        </w:rPr>
      </w:pPr>
      <w:r w:rsidRPr="00B926E3">
        <w:rPr>
          <w:rFonts w:ascii="Palatino Linotype" w:hAnsi="Palatino Linotype" w:cs="Arial"/>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36AEC63" w14:textId="1F69398E" w:rsidR="00BF23BF" w:rsidRPr="00B15B49" w:rsidRDefault="00C6606E" w:rsidP="00C6606E">
      <w:pPr>
        <w:spacing w:before="240" w:after="240" w:line="360" w:lineRule="auto"/>
        <w:ind w:right="49"/>
        <w:jc w:val="both"/>
        <w:rPr>
          <w:rFonts w:ascii="Palatino Linotype" w:hAnsi="Palatino Linotype" w:cs="Arial"/>
          <w:lang w:eastAsia="es-CO"/>
        </w:rPr>
      </w:pPr>
      <w:r>
        <w:rPr>
          <w:rFonts w:ascii="Palatino Linotype" w:hAnsi="Palatino Linotype" w:cs="Arial"/>
        </w:rPr>
        <w:t>En conclusión</w:t>
      </w:r>
      <w:r w:rsidRPr="008F2BA9">
        <w:rPr>
          <w:rFonts w:ascii="Palatino Linotype" w:hAnsi="Palatino Linotype" w:cs="Arial"/>
        </w:rPr>
        <w:t>, en la versión pública de</w:t>
      </w:r>
      <w:r>
        <w:rPr>
          <w:rFonts w:ascii="Palatino Linotype" w:hAnsi="Palatino Linotype" w:cs="Arial"/>
        </w:rPr>
        <w:t xml:space="preserve"> la</w:t>
      </w:r>
      <w:r w:rsidRPr="008F2BA9">
        <w:rPr>
          <w:rFonts w:ascii="Palatino Linotype" w:hAnsi="Palatino Linotype" w:cs="Arial"/>
        </w:rPr>
        <w:t xml:space="preserve"> nómina</w:t>
      </w:r>
      <w:r>
        <w:rPr>
          <w:rFonts w:ascii="Palatino Linotype" w:hAnsi="Palatino Linotype" w:cs="Arial"/>
        </w:rPr>
        <w:t xml:space="preserve"> o recibos de nómina</w:t>
      </w:r>
      <w:r w:rsidRPr="008F2BA9">
        <w:rPr>
          <w:rFonts w:ascii="Palatino Linotype" w:hAnsi="Palatino Linotype" w:cs="Arial"/>
        </w:rPr>
        <w:t xml:space="preserve"> se deben testar aquellos elementos señalados en la presente resolución, en el entendido de que debe ser pública toda la demás información relacionada que no encuadre en los conceptos anteriores.</w:t>
      </w:r>
    </w:p>
    <w:p w14:paraId="5439A464" w14:textId="20D02B90" w:rsidR="006A559E" w:rsidRDefault="005C3AC2" w:rsidP="006A559E">
      <w:pPr>
        <w:spacing w:before="240" w:after="240" w:line="360" w:lineRule="auto"/>
        <w:jc w:val="both"/>
        <w:rPr>
          <w:rFonts w:ascii="Palatino Linotype" w:hAnsi="Palatino Linotype" w:cs="Arial"/>
        </w:rPr>
      </w:pPr>
      <w:r>
        <w:rPr>
          <w:rFonts w:ascii="Palatino Linotype" w:hAnsi="Palatino Linotype" w:cs="Arial"/>
        </w:rPr>
        <w:t>A</w:t>
      </w:r>
      <w:r w:rsidR="006A559E" w:rsidRPr="007E27E3">
        <w:rPr>
          <w:rFonts w:ascii="Palatino Linotype" w:hAnsi="Palatino Linotype" w:cs="Arial"/>
        </w:rPr>
        <w:t xml:space="preserve">sí, con fundamento en lo prescrito en los artículos 5 párrafos </w:t>
      </w:r>
      <w:r w:rsidR="00DA57EB">
        <w:rPr>
          <w:rFonts w:ascii="Palatino Linotype" w:hAnsi="Palatino Linotype" w:cs="Arial"/>
        </w:rPr>
        <w:t>vigésimo, vigésimo primero y vigésimo segundo</w:t>
      </w:r>
      <w:r w:rsidR="006A559E" w:rsidRPr="007E27E3">
        <w:rPr>
          <w:rFonts w:ascii="Palatino Linotype" w:hAnsi="Palatino Linotype" w:cs="Arial"/>
        </w:rPr>
        <w:t xml:space="preserve"> de la Constitución Política del Estado Libre y Soberano de México; 2, fracción II; 29, 36 fracciones I y II; 176, 178,</w:t>
      </w:r>
      <w:r w:rsidR="006A559E">
        <w:rPr>
          <w:rFonts w:ascii="Palatino Linotype" w:hAnsi="Palatino Linotype" w:cs="Arial"/>
        </w:rPr>
        <w:t xml:space="preserve"> 179</w:t>
      </w:r>
      <w:r w:rsidR="001F1730">
        <w:rPr>
          <w:rFonts w:ascii="Palatino Linotype" w:hAnsi="Palatino Linotype" w:cs="Arial"/>
        </w:rPr>
        <w:t xml:space="preserve"> fracción</w:t>
      </w:r>
      <w:r w:rsidR="009752C3">
        <w:rPr>
          <w:rFonts w:ascii="Palatino Linotype" w:hAnsi="Palatino Linotype" w:cs="Arial"/>
        </w:rPr>
        <w:t xml:space="preserve"> V</w:t>
      </w:r>
      <w:r w:rsidR="006A559E">
        <w:rPr>
          <w:rFonts w:ascii="Palatino Linotype" w:hAnsi="Palatino Linotype" w:cs="Arial"/>
        </w:rPr>
        <w:t>,</w:t>
      </w:r>
      <w:r w:rsidR="00D87E63">
        <w:rPr>
          <w:rFonts w:ascii="Palatino Linotype" w:hAnsi="Palatino Linotype" w:cs="Arial"/>
        </w:rPr>
        <w:t xml:space="preserve"> 181 y</w:t>
      </w:r>
      <w:r w:rsidR="006A559E" w:rsidRPr="007E27E3">
        <w:rPr>
          <w:rFonts w:ascii="Palatino Linotype" w:hAnsi="Palatino Linotype" w:cs="Arial"/>
        </w:rPr>
        <w:t xml:space="preserve"> 185 de </w:t>
      </w:r>
      <w:r w:rsidR="006A559E" w:rsidRPr="007E27E3">
        <w:rPr>
          <w:rFonts w:ascii="Palatino Linotype" w:hAnsi="Palatino Linotype" w:cs="Arial"/>
        </w:rPr>
        <w:lastRenderedPageBreak/>
        <w:t>la Ley de Transparencia y Acceso a la Información Pública del Estado de México y Municipios, este Pleno:</w:t>
      </w:r>
    </w:p>
    <w:p w14:paraId="42647389" w14:textId="77777777" w:rsidR="006A559E" w:rsidRPr="00A22E55" w:rsidRDefault="006A559E" w:rsidP="006A559E">
      <w:pPr>
        <w:pStyle w:val="Prrafodelista"/>
        <w:numPr>
          <w:ilvl w:val="0"/>
          <w:numId w:val="12"/>
        </w:numPr>
        <w:spacing w:before="240" w:after="240" w:line="360" w:lineRule="auto"/>
        <w:contextualSpacing/>
        <w:jc w:val="center"/>
        <w:rPr>
          <w:rFonts w:ascii="Palatino Linotype" w:hAnsi="Palatino Linotype" w:cs="Arial"/>
          <w:b/>
        </w:rPr>
      </w:pPr>
      <w:r w:rsidRPr="00A22E55">
        <w:rPr>
          <w:rFonts w:ascii="Palatino Linotype" w:hAnsi="Palatino Linotype" w:cs="Arial"/>
          <w:b/>
        </w:rPr>
        <w:t>R E S U E L V E:</w:t>
      </w:r>
    </w:p>
    <w:p w14:paraId="12C61FAD" w14:textId="126A29DA" w:rsidR="00373004" w:rsidRPr="00623957" w:rsidRDefault="00A97ACB" w:rsidP="00373004">
      <w:pPr>
        <w:spacing w:before="240" w:after="240" w:line="360" w:lineRule="auto"/>
        <w:jc w:val="both"/>
        <w:rPr>
          <w:rFonts w:ascii="Palatino Linotype" w:hAnsi="Palatino Linotype" w:cs="Arial"/>
        </w:rPr>
      </w:pPr>
      <w:r w:rsidRPr="00A22E55">
        <w:rPr>
          <w:rFonts w:ascii="Palatino Linotype" w:hAnsi="Palatino Linotype" w:cs="Arial"/>
          <w:b/>
        </w:rPr>
        <w:t xml:space="preserve">Primero. </w:t>
      </w:r>
      <w:r w:rsidR="00FA2EE6">
        <w:rPr>
          <w:rFonts w:ascii="Palatino Linotype" w:hAnsi="Palatino Linotype" w:cs="Arial"/>
        </w:rPr>
        <w:t>Son</w:t>
      </w:r>
      <w:r w:rsidR="00EC2D24">
        <w:rPr>
          <w:rFonts w:ascii="Palatino Linotype" w:hAnsi="Palatino Linotype" w:cs="Arial"/>
        </w:rPr>
        <w:t xml:space="preserve"> </w:t>
      </w:r>
      <w:r w:rsidR="00373004" w:rsidRPr="00623957">
        <w:rPr>
          <w:rFonts w:ascii="Palatino Linotype" w:hAnsi="Palatino Linotype" w:cs="Arial"/>
        </w:rPr>
        <w:t xml:space="preserve">fundados los motivos de inconformidad expuestos por </w:t>
      </w:r>
      <w:r w:rsidR="00B21DDD">
        <w:rPr>
          <w:rFonts w:ascii="Palatino Linotype" w:hAnsi="Palatino Linotype" w:cs="Arial"/>
          <w:b/>
        </w:rPr>
        <w:t>la</w:t>
      </w:r>
      <w:r w:rsidR="00373004" w:rsidRPr="00623957">
        <w:rPr>
          <w:rFonts w:ascii="Palatino Linotype" w:hAnsi="Palatino Linotype" w:cs="Arial"/>
          <w:b/>
        </w:rPr>
        <w:t xml:space="preserve"> recurrente</w:t>
      </w:r>
      <w:r w:rsidR="00373004" w:rsidRPr="00623957">
        <w:rPr>
          <w:rFonts w:ascii="Palatino Linotype" w:hAnsi="Palatino Linotype" w:cs="Arial"/>
        </w:rPr>
        <w:t>,</w:t>
      </w:r>
      <w:r>
        <w:rPr>
          <w:rFonts w:ascii="Palatino Linotype" w:hAnsi="Palatino Linotype" w:cs="Arial"/>
        </w:rPr>
        <w:t xml:space="preserve"> </w:t>
      </w:r>
      <w:r w:rsidR="00373004" w:rsidRPr="00623957">
        <w:rPr>
          <w:rFonts w:ascii="Palatino Linotype" w:hAnsi="Palatino Linotype" w:cs="Arial"/>
        </w:rPr>
        <w:t xml:space="preserve">en términos de los argumentos de derecho señalados en el considerando </w:t>
      </w:r>
      <w:r w:rsidR="00FA2EE6">
        <w:rPr>
          <w:rFonts w:ascii="Palatino Linotype" w:hAnsi="Palatino Linotype" w:cs="Arial"/>
        </w:rPr>
        <w:t>C</w:t>
      </w:r>
      <w:r w:rsidR="00277E49">
        <w:rPr>
          <w:rFonts w:ascii="Palatino Linotype" w:hAnsi="Palatino Linotype" w:cs="Arial"/>
        </w:rPr>
        <w:t>uarto</w:t>
      </w:r>
      <w:r w:rsidR="00373004" w:rsidRPr="00623957">
        <w:rPr>
          <w:rFonts w:ascii="Palatino Linotype" w:hAnsi="Palatino Linotype" w:cs="Arial"/>
        </w:rPr>
        <w:t xml:space="preserve">, por ende se </w:t>
      </w:r>
      <w:r w:rsidR="005C3AC2">
        <w:rPr>
          <w:rFonts w:ascii="Palatino Linotype" w:hAnsi="Palatino Linotype" w:cs="Arial"/>
          <w:b/>
        </w:rPr>
        <w:t>REVOCA</w:t>
      </w:r>
      <w:r w:rsidR="009E75D1">
        <w:rPr>
          <w:rFonts w:ascii="Palatino Linotype" w:hAnsi="Palatino Linotype" w:cs="Arial"/>
          <w:b/>
        </w:rPr>
        <w:t>N</w:t>
      </w:r>
      <w:r w:rsidR="009F1BDC">
        <w:rPr>
          <w:rFonts w:ascii="Palatino Linotype" w:hAnsi="Palatino Linotype" w:cs="Arial"/>
        </w:rPr>
        <w:t xml:space="preserve"> la</w:t>
      </w:r>
      <w:r w:rsidR="009E75D1">
        <w:rPr>
          <w:rFonts w:ascii="Palatino Linotype" w:hAnsi="Palatino Linotype" w:cs="Arial"/>
        </w:rPr>
        <w:t>s</w:t>
      </w:r>
      <w:r w:rsidR="00373004" w:rsidRPr="00623957">
        <w:rPr>
          <w:rFonts w:ascii="Palatino Linotype" w:hAnsi="Palatino Linotype" w:cs="Arial"/>
        </w:rPr>
        <w:t xml:space="preserve"> respuesta</w:t>
      </w:r>
      <w:r w:rsidR="00BE7B85">
        <w:rPr>
          <w:rFonts w:ascii="Palatino Linotype" w:hAnsi="Palatino Linotype" w:cs="Arial"/>
        </w:rPr>
        <w:t>s</w:t>
      </w:r>
      <w:r w:rsidR="00373004" w:rsidRPr="00623957">
        <w:rPr>
          <w:rFonts w:ascii="Palatino Linotype" w:hAnsi="Palatino Linotype" w:cs="Arial"/>
        </w:rPr>
        <w:t xml:space="preserve"> del Sujeto Obligado.</w:t>
      </w:r>
    </w:p>
    <w:p w14:paraId="5013BFA3" w14:textId="75E51BF8" w:rsidR="00A97ACB" w:rsidRPr="00911351" w:rsidRDefault="00A010BF" w:rsidP="00A97ACB">
      <w:pPr>
        <w:spacing w:before="240" w:after="240" w:line="360" w:lineRule="auto"/>
        <w:contextualSpacing/>
        <w:jc w:val="both"/>
        <w:rPr>
          <w:rFonts w:ascii="Palatino Linotype" w:hAnsi="Palatino Linotype"/>
        </w:rPr>
      </w:pPr>
      <w:r>
        <w:rPr>
          <w:rFonts w:ascii="Palatino Linotype" w:hAnsi="Palatino Linotype" w:cs="Arial"/>
          <w:b/>
        </w:rPr>
        <w:t>Segundo</w:t>
      </w:r>
      <w:r w:rsidR="00373004" w:rsidRPr="00623957">
        <w:rPr>
          <w:rFonts w:ascii="Palatino Linotype" w:hAnsi="Palatino Linotype" w:cs="Arial"/>
          <w:b/>
        </w:rPr>
        <w:t xml:space="preserve">. </w:t>
      </w:r>
      <w:r w:rsidR="00A97ACB" w:rsidRPr="00911351">
        <w:rPr>
          <w:rFonts w:ascii="Palatino Linotype" w:hAnsi="Palatino Linotype" w:cs="Arial"/>
        </w:rPr>
        <w:t>Se</w:t>
      </w:r>
      <w:r w:rsidR="00A97ACB" w:rsidRPr="00911351">
        <w:rPr>
          <w:rFonts w:ascii="Palatino Linotype" w:hAnsi="Palatino Linotype" w:cs="Arial"/>
          <w:b/>
        </w:rPr>
        <w:t xml:space="preserve"> </w:t>
      </w:r>
      <w:r w:rsidR="00A97ACB" w:rsidRPr="00911351">
        <w:rPr>
          <w:rFonts w:ascii="Palatino Linotype" w:hAnsi="Palatino Linotype"/>
          <w:b/>
        </w:rPr>
        <w:t xml:space="preserve">ORDENA </w:t>
      </w:r>
      <w:r w:rsidR="00A97ACB" w:rsidRPr="00911351">
        <w:rPr>
          <w:rFonts w:ascii="Palatino Linotype" w:hAnsi="Palatino Linotype"/>
        </w:rPr>
        <w:t xml:space="preserve">al </w:t>
      </w:r>
      <w:r w:rsidR="00A97ACB" w:rsidRPr="00911351">
        <w:rPr>
          <w:rFonts w:ascii="Palatino Linotype" w:hAnsi="Palatino Linotype"/>
          <w:b/>
        </w:rPr>
        <w:t>Sujeto Obligado</w:t>
      </w:r>
      <w:r w:rsidR="00A97ACB" w:rsidRPr="00911351">
        <w:rPr>
          <w:rFonts w:ascii="Palatino Linotype" w:hAnsi="Palatino Linotype"/>
        </w:rPr>
        <w:t xml:space="preserve"> a que</w:t>
      </w:r>
      <w:r w:rsidR="00A97ACB" w:rsidRPr="00911351">
        <w:rPr>
          <w:rFonts w:ascii="Palatino Linotype" w:hAnsi="Palatino Linotype"/>
          <w:b/>
        </w:rPr>
        <w:t xml:space="preserve"> </w:t>
      </w:r>
      <w:r w:rsidR="00A97ACB" w:rsidRPr="00911351">
        <w:rPr>
          <w:rFonts w:ascii="Palatino Linotype" w:hAnsi="Palatino Linotype"/>
        </w:rPr>
        <w:t xml:space="preserve">en términos de los Considerandos Cuarto y Quinto, </w:t>
      </w:r>
      <w:r w:rsidR="00E3735E" w:rsidRPr="00911351">
        <w:rPr>
          <w:rFonts w:ascii="Palatino Linotype" w:hAnsi="Palatino Linotype"/>
        </w:rPr>
        <w:t>haga entrega vía SAIMEX, en versión pública</w:t>
      </w:r>
      <w:r w:rsidR="00E3735E">
        <w:rPr>
          <w:rFonts w:ascii="Palatino Linotype" w:hAnsi="Palatino Linotype"/>
        </w:rPr>
        <w:t>,</w:t>
      </w:r>
      <w:r w:rsidR="00E3735E" w:rsidRPr="00911351">
        <w:rPr>
          <w:rFonts w:ascii="Palatino Linotype" w:hAnsi="Palatino Linotype"/>
        </w:rPr>
        <w:t xml:space="preserve"> de</w:t>
      </w:r>
      <w:r w:rsidR="00E3735E">
        <w:rPr>
          <w:rFonts w:ascii="Palatino Linotype" w:hAnsi="Palatino Linotype"/>
        </w:rPr>
        <w:t xml:space="preserve"> lo siguiente:</w:t>
      </w:r>
    </w:p>
    <w:p w14:paraId="20ABC27C" w14:textId="46CFF341" w:rsidR="00A97ACB" w:rsidRDefault="00E3735E" w:rsidP="00E3735E">
      <w:pPr>
        <w:pStyle w:val="Prrafodelista"/>
        <w:numPr>
          <w:ilvl w:val="0"/>
          <w:numId w:val="21"/>
        </w:numPr>
        <w:spacing w:before="240" w:after="240" w:line="360" w:lineRule="auto"/>
        <w:contextualSpacing/>
        <w:jc w:val="both"/>
        <w:rPr>
          <w:rFonts w:ascii="Palatino Linotype" w:hAnsi="Palatino Linotype" w:cs="Arial"/>
        </w:rPr>
      </w:pPr>
      <w:r>
        <w:rPr>
          <w:rFonts w:ascii="Palatino Linotype" w:hAnsi="Palatino Linotype" w:cs="Arial"/>
        </w:rPr>
        <w:t>La información contenida en los Discos 3 y 4 de los informes mensuales de los meses de enero a diciembre del año 2017 entregados al Órgano Superior de Fiscalización del Estado de México</w:t>
      </w:r>
      <w:r w:rsidR="00A97ACB" w:rsidRPr="00E3735E">
        <w:rPr>
          <w:rFonts w:ascii="Palatino Linotype" w:hAnsi="Palatino Linotype" w:cs="Arial"/>
        </w:rPr>
        <w:t>.</w:t>
      </w:r>
    </w:p>
    <w:p w14:paraId="32B3E905" w14:textId="06E6D532" w:rsidR="00E3735E" w:rsidRPr="00E3735E" w:rsidRDefault="00E3735E" w:rsidP="00E3735E">
      <w:pPr>
        <w:pStyle w:val="Prrafodelista"/>
        <w:numPr>
          <w:ilvl w:val="0"/>
          <w:numId w:val="21"/>
        </w:numPr>
        <w:spacing w:before="240" w:after="240" w:line="360" w:lineRule="auto"/>
        <w:contextualSpacing/>
        <w:jc w:val="both"/>
        <w:rPr>
          <w:rFonts w:ascii="Palatino Linotype" w:hAnsi="Palatino Linotype" w:cs="Arial"/>
        </w:rPr>
      </w:pPr>
      <w:r>
        <w:rPr>
          <w:rFonts w:ascii="Palatino Linotype" w:hAnsi="Palatino Linotype" w:cs="Arial"/>
        </w:rPr>
        <w:t>Las pólizas de pago, transferencias bancarias y facturas de los pagos realizados por las obras de remodelación del “Auditorio Municipal del centenarios Ricardo y Enrique Flores Magón”.</w:t>
      </w:r>
    </w:p>
    <w:p w14:paraId="10F0885A" w14:textId="77777777" w:rsidR="00A97ACB" w:rsidRDefault="00A97ACB" w:rsidP="00A97ACB">
      <w:pPr>
        <w:pStyle w:val="NormalWeb"/>
        <w:spacing w:line="360" w:lineRule="auto"/>
        <w:jc w:val="both"/>
        <w:rPr>
          <w:rFonts w:ascii="Palatino Linotype" w:hAnsi="Palatino Linotype"/>
        </w:rPr>
      </w:pPr>
      <w:r>
        <w:rPr>
          <w:rFonts w:ascii="Palatino Linotype" w:hAnsi="Palatino Linotype"/>
        </w:rPr>
        <w:t>Para la entrega en versión pública, se</w:t>
      </w:r>
      <w:r w:rsidRPr="00911351">
        <w:rPr>
          <w:rFonts w:ascii="Palatino Linotype" w:hAnsi="Palatino Linotype"/>
        </w:rPr>
        <w:t xml:space="preserv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w:t>
      </w:r>
      <w:r>
        <w:rPr>
          <w:rFonts w:ascii="Palatino Linotype" w:hAnsi="Palatino Linotype"/>
        </w:rPr>
        <w:t xml:space="preserve"> y se pongan a disposición del</w:t>
      </w:r>
      <w:r w:rsidRPr="00911351">
        <w:rPr>
          <w:rFonts w:ascii="Palatino Linotype" w:hAnsi="Palatino Linotype"/>
        </w:rPr>
        <w:t xml:space="preserve"> recurrente, mismo que igualmente hará de</w:t>
      </w:r>
      <w:r>
        <w:rPr>
          <w:rFonts w:ascii="Palatino Linotype" w:hAnsi="Palatino Linotype"/>
        </w:rPr>
        <w:t xml:space="preserve"> su conocimiento</w:t>
      </w:r>
      <w:r w:rsidRPr="00911351">
        <w:rPr>
          <w:rFonts w:ascii="Palatino Linotype" w:hAnsi="Palatino Linotype"/>
        </w:rPr>
        <w:t>.</w:t>
      </w:r>
    </w:p>
    <w:p w14:paraId="537C075C" w14:textId="5DCB65E8" w:rsidR="00A83958" w:rsidRPr="00AB35A5" w:rsidRDefault="00A010BF" w:rsidP="00A97ACB">
      <w:pPr>
        <w:pStyle w:val="NormalWeb"/>
        <w:spacing w:line="360" w:lineRule="auto"/>
        <w:jc w:val="both"/>
        <w:rPr>
          <w:rFonts w:ascii="Palatino Linotype" w:hAnsi="Palatino Linotype" w:cs="Arial"/>
        </w:rPr>
      </w:pPr>
      <w:r>
        <w:rPr>
          <w:rFonts w:ascii="Palatino Linotype" w:hAnsi="Palatino Linotype" w:cs="Arial"/>
          <w:b/>
          <w:bCs/>
          <w:shd w:val="clear" w:color="auto" w:fill="FFFFFF"/>
        </w:rPr>
        <w:lastRenderedPageBreak/>
        <w:t>Tercero</w:t>
      </w:r>
      <w:r w:rsidR="00A83958" w:rsidRPr="007E27E3">
        <w:rPr>
          <w:rFonts w:ascii="Palatino Linotype" w:hAnsi="Palatino Linotype" w:cs="Arial"/>
          <w:b/>
          <w:bCs/>
          <w:shd w:val="clear" w:color="auto" w:fill="FFFFFF"/>
        </w:rPr>
        <w:t>. Remítase</w:t>
      </w:r>
      <w:r w:rsidR="00A83958" w:rsidRPr="007E27E3">
        <w:rPr>
          <w:rStyle w:val="apple-converted-space"/>
          <w:rFonts w:ascii="Palatino Linotype" w:hAnsi="Palatino Linotype" w:cs="Arial"/>
          <w:b/>
          <w:bCs/>
          <w:i/>
          <w:iCs/>
          <w:shd w:val="clear" w:color="auto" w:fill="FFFFFF"/>
        </w:rPr>
        <w:t> </w:t>
      </w:r>
      <w:r w:rsidR="00A83958" w:rsidRPr="007E27E3">
        <w:rPr>
          <w:rFonts w:ascii="Palatino Linotype" w:hAnsi="Palatino Linotype"/>
          <w:shd w:val="clear" w:color="auto" w:fill="FFFFFF"/>
        </w:rPr>
        <w:t>al Responsable de la Unidad de Transparencia del</w:t>
      </w:r>
      <w:r w:rsidR="00A83958" w:rsidRPr="007E27E3">
        <w:rPr>
          <w:rStyle w:val="apple-converted-space"/>
          <w:rFonts w:ascii="Palatino Linotype" w:hAnsi="Palatino Linotype"/>
          <w:bCs/>
          <w:shd w:val="clear" w:color="auto" w:fill="FFFFFF"/>
        </w:rPr>
        <w:t> </w:t>
      </w:r>
      <w:r w:rsidR="00A83958" w:rsidRPr="007E27E3">
        <w:rPr>
          <w:rFonts w:ascii="Palatino Linotype" w:hAnsi="Palatino Linotype"/>
          <w:bCs/>
          <w:shd w:val="clear" w:color="auto" w:fill="FFFFFF"/>
        </w:rPr>
        <w:t>Sujeto Obligado</w:t>
      </w:r>
      <w:r w:rsidR="00A83958" w:rsidRPr="007E27E3">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833250B" w14:textId="7633B0E4" w:rsidR="00A83958" w:rsidRDefault="00A010BF" w:rsidP="00CE0AAC">
      <w:pPr>
        <w:spacing w:before="240" w:after="240" w:line="360" w:lineRule="auto"/>
        <w:jc w:val="both"/>
        <w:rPr>
          <w:rFonts w:ascii="Palatino Linotype" w:hAnsi="Palatino Linotype" w:cs="Arial"/>
        </w:rPr>
      </w:pPr>
      <w:r>
        <w:rPr>
          <w:rFonts w:ascii="Palatino Linotype" w:hAnsi="Palatino Linotype" w:cs="Arial"/>
          <w:b/>
        </w:rPr>
        <w:t>Cuarto</w:t>
      </w:r>
      <w:r w:rsidR="00A83958" w:rsidRPr="00A22E55">
        <w:rPr>
          <w:rFonts w:ascii="Palatino Linotype" w:hAnsi="Palatino Linotype" w:cs="Arial"/>
          <w:b/>
        </w:rPr>
        <w:t xml:space="preserve">.  </w:t>
      </w:r>
      <w:r w:rsidR="00A83958" w:rsidRPr="00B92B46">
        <w:rPr>
          <w:rFonts w:ascii="Palatino Linotype" w:hAnsi="Palatino Linotype" w:cs="Arial"/>
          <w:b/>
        </w:rPr>
        <w:t>Hágase del conocimiento</w:t>
      </w:r>
      <w:r w:rsidR="00A83958">
        <w:rPr>
          <w:rFonts w:ascii="Palatino Linotype" w:hAnsi="Palatino Linotype" w:cs="Arial"/>
        </w:rPr>
        <w:t xml:space="preserve"> de la parte recurrente, la presente resolución, así como, que de conformidad con lo establecido en el artículo 196 de la </w:t>
      </w:r>
      <w:r w:rsidR="00A83958" w:rsidRPr="0071646D">
        <w:rPr>
          <w:rFonts w:ascii="Palatino Linotype" w:hAnsi="Palatino Linotype" w:cs="Arial"/>
        </w:rPr>
        <w:t>Ley de Transparencia y Acceso a la Información Pública del Estado de México y Municipios</w:t>
      </w:r>
      <w:r w:rsidR="00A83958">
        <w:rPr>
          <w:rFonts w:ascii="Palatino Linotype" w:hAnsi="Palatino Linotype" w:cs="Arial"/>
        </w:rPr>
        <w:t>, podrá impugnarla vía Juicio de Amparo en los términos de las leyes aplicables.</w:t>
      </w:r>
    </w:p>
    <w:p w14:paraId="5A57075B" w14:textId="37B1C1FB" w:rsidR="00875490" w:rsidRPr="00DA3C6B" w:rsidRDefault="00A83958" w:rsidP="00875490">
      <w:pPr>
        <w:spacing w:before="240" w:line="360" w:lineRule="auto"/>
        <w:jc w:val="both"/>
        <w:rPr>
          <w:rFonts w:ascii="Palatino Linotype" w:hAnsi="Palatino Linotype"/>
          <w:color w:val="000000"/>
        </w:rPr>
      </w:pPr>
      <w:r w:rsidRPr="00AC4122">
        <w:rPr>
          <w:rFonts w:ascii="Palatino Linotype" w:hAnsi="Palatino Linotype"/>
          <w:color w:val="000000"/>
        </w:rPr>
        <w:t xml:space="preserve">ASÍ LO RESUELVE, </w:t>
      </w:r>
      <w:r w:rsidRPr="005D243F">
        <w:rPr>
          <w:rFonts w:ascii="Palatino Linotype" w:hAnsi="Palatino Linotype"/>
          <w:color w:val="000000"/>
        </w:rPr>
        <w:t xml:space="preserve">POR </w:t>
      </w:r>
      <w:r w:rsidRPr="004B260C">
        <w:rPr>
          <w:rFonts w:ascii="Palatino Linotype" w:hAnsi="Palatino Linotype"/>
          <w:color w:val="000000"/>
        </w:rPr>
        <w:t>UNANIMIDAD DE VOTOS,</w:t>
      </w:r>
      <w:r w:rsidRPr="00AC4122">
        <w:rPr>
          <w:rFonts w:ascii="Palatino Linotype" w:hAnsi="Palatino Linotype"/>
          <w:color w:val="000000"/>
        </w:rPr>
        <w:t xml:space="preserve"> EL PLENO DEL INSTITUTO DE TRANSPARENCIA, ACCESO A LA INFORMACIÓN PÚBLICA Y PROTECCIÓN DE DATOS PERSONALES DEL ESTADO DE MÉXICO Y MUNICIPIOS, CONFORMADO POR LOS COMISIONADOS </w:t>
      </w:r>
      <w:r w:rsidR="00DA3C6B" w:rsidRPr="00AC4122">
        <w:rPr>
          <w:rFonts w:ascii="Palatino Linotype" w:hAnsi="Palatino Linotype"/>
          <w:color w:val="000000"/>
        </w:rPr>
        <w:t>ZULEMA MARTÍNEZ SÁNCHEZ</w:t>
      </w:r>
      <w:r w:rsidRPr="00AC4122">
        <w:rPr>
          <w:rFonts w:ascii="Palatino Linotype" w:hAnsi="Palatino Linotype"/>
          <w:color w:val="000000"/>
        </w:rPr>
        <w:t>; EVA ABAID YAPUR</w:t>
      </w:r>
      <w:r w:rsidR="004B260C">
        <w:rPr>
          <w:rFonts w:ascii="Palatino Linotype" w:hAnsi="Palatino Linotype"/>
          <w:color w:val="000000"/>
        </w:rPr>
        <w:t>, CON AUSENCIA JUSTIFICADA</w:t>
      </w:r>
      <w:r w:rsidR="00AB7E65">
        <w:rPr>
          <w:rFonts w:ascii="Palatino Linotype" w:hAnsi="Palatino Linotype"/>
          <w:color w:val="000000"/>
        </w:rPr>
        <w:t>; JOSÉ GUADALUPE LUNA HERNÁNDEZ</w:t>
      </w:r>
      <w:r w:rsidR="00A97ACB">
        <w:rPr>
          <w:rFonts w:ascii="Palatino Linotype" w:hAnsi="Palatino Linotype"/>
          <w:color w:val="000000"/>
        </w:rPr>
        <w:t xml:space="preserve"> </w:t>
      </w:r>
      <w:r w:rsidR="00AB7E65">
        <w:rPr>
          <w:rFonts w:ascii="Palatino Linotype" w:hAnsi="Palatino Linotype"/>
          <w:color w:val="000000"/>
        </w:rPr>
        <w:t>Y</w:t>
      </w:r>
      <w:r w:rsidRPr="00AC4122">
        <w:rPr>
          <w:rFonts w:ascii="Palatino Linotype" w:hAnsi="Palatino Linotype"/>
          <w:color w:val="000000"/>
        </w:rPr>
        <w:t xml:space="preserve"> JAVIER MARTÍNEZ CRUZ; EN LA </w:t>
      </w:r>
      <w:r w:rsidR="00AB7E65">
        <w:rPr>
          <w:rFonts w:ascii="Palatino Linotype" w:hAnsi="Palatino Linotype"/>
          <w:color w:val="000000"/>
        </w:rPr>
        <w:t xml:space="preserve">VIGÉSIMA </w:t>
      </w:r>
      <w:r w:rsidR="00E3735E">
        <w:rPr>
          <w:rFonts w:ascii="Palatino Linotype" w:hAnsi="Palatino Linotype"/>
          <w:color w:val="000000"/>
        </w:rPr>
        <w:t>OCTAVA</w:t>
      </w:r>
      <w:r>
        <w:rPr>
          <w:rFonts w:ascii="Palatino Linotype" w:hAnsi="Palatino Linotype"/>
          <w:color w:val="000000"/>
        </w:rPr>
        <w:t xml:space="preserve"> </w:t>
      </w:r>
      <w:r w:rsidRPr="00AC4122">
        <w:rPr>
          <w:rFonts w:ascii="Palatino Linotype" w:hAnsi="Palatino Linotype"/>
          <w:color w:val="000000"/>
        </w:rPr>
        <w:t xml:space="preserve">SESIÓN ORDINARIA CELEBRADA EL </w:t>
      </w:r>
      <w:r w:rsidR="00E3735E">
        <w:rPr>
          <w:rFonts w:ascii="Palatino Linotype" w:hAnsi="Palatino Linotype"/>
          <w:color w:val="000000"/>
        </w:rPr>
        <w:t>OCHO</w:t>
      </w:r>
      <w:r w:rsidR="00A97ACB">
        <w:rPr>
          <w:rFonts w:ascii="Palatino Linotype" w:hAnsi="Palatino Linotype"/>
          <w:color w:val="000000"/>
        </w:rPr>
        <w:t xml:space="preserve"> </w:t>
      </w:r>
      <w:r w:rsidRPr="00AC4122">
        <w:rPr>
          <w:rFonts w:ascii="Palatino Linotype" w:hAnsi="Palatino Linotype"/>
          <w:color w:val="000000"/>
        </w:rPr>
        <w:t xml:space="preserve">DE </w:t>
      </w:r>
      <w:r w:rsidR="00A97ACB">
        <w:rPr>
          <w:rFonts w:ascii="Palatino Linotype" w:hAnsi="Palatino Linotype"/>
          <w:color w:val="000000"/>
        </w:rPr>
        <w:t>AGOSTO</w:t>
      </w:r>
      <w:r w:rsidR="00DA3C6B">
        <w:rPr>
          <w:rFonts w:ascii="Palatino Linotype" w:hAnsi="Palatino Linotype"/>
          <w:color w:val="000000"/>
        </w:rPr>
        <w:t xml:space="preserve"> DE DOS MIL DIECIOCHO</w:t>
      </w:r>
      <w:r w:rsidR="00AB7E65">
        <w:rPr>
          <w:rFonts w:ascii="Palatino Linotype" w:hAnsi="Palatino Linotype"/>
          <w:color w:val="000000"/>
        </w:rPr>
        <w:t>, ANTE EL SECRETARIO TÉCNICO</w:t>
      </w:r>
      <w:r w:rsidRPr="00AC4122">
        <w:rPr>
          <w:rFonts w:ascii="Palatino Linotype" w:hAnsi="Palatino Linotype"/>
          <w:color w:val="000000"/>
        </w:rPr>
        <w:t xml:space="preserve"> DEL PLENO </w:t>
      </w:r>
      <w:r w:rsidR="00AB7E65">
        <w:rPr>
          <w:rFonts w:ascii="Palatino Linotype" w:hAnsi="Palatino Linotype"/>
          <w:color w:val="000000"/>
        </w:rPr>
        <w:t>ALEXIS TAPIA RAMÍREZ</w:t>
      </w:r>
      <w:r w:rsidRPr="00AC4122">
        <w:rPr>
          <w:rFonts w:ascii="Palatino Linotype" w:hAnsi="Palatino Linotype"/>
          <w:color w:val="000000"/>
        </w:rPr>
        <w:t>.</w:t>
      </w:r>
      <w:r w:rsidR="00373004" w:rsidRPr="00623957">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623957" w:rsidRPr="00623957" w14:paraId="0CD390CC" w14:textId="77777777" w:rsidTr="0093429E">
        <w:trPr>
          <w:trHeight w:val="1807"/>
        </w:trPr>
        <w:tc>
          <w:tcPr>
            <w:tcW w:w="8838" w:type="dxa"/>
            <w:gridSpan w:val="2"/>
            <w:vAlign w:val="center"/>
          </w:tcPr>
          <w:p w14:paraId="4838692C" w14:textId="77777777" w:rsidR="002D09B9" w:rsidRDefault="002D09B9" w:rsidP="0093429E">
            <w:pPr>
              <w:jc w:val="center"/>
              <w:rPr>
                <w:rFonts w:ascii="Palatino Linotype" w:hAnsi="Palatino Linotype"/>
                <w:b/>
              </w:rPr>
            </w:pPr>
          </w:p>
          <w:p w14:paraId="53B46A84" w14:textId="77777777" w:rsidR="00F40570" w:rsidRDefault="00F40570" w:rsidP="0093429E">
            <w:pPr>
              <w:jc w:val="center"/>
              <w:rPr>
                <w:rFonts w:ascii="Palatino Linotype" w:hAnsi="Palatino Linotype"/>
                <w:b/>
              </w:rPr>
            </w:pPr>
          </w:p>
          <w:p w14:paraId="0B66B96B" w14:textId="3FB95EAA" w:rsidR="00373004" w:rsidRPr="00DA3C6B" w:rsidRDefault="00DA3C6B" w:rsidP="00DA3C6B">
            <w:pPr>
              <w:jc w:val="center"/>
              <w:rPr>
                <w:rFonts w:ascii="Palatino Linotype" w:hAnsi="Palatino Linotype" w:cs="Arial"/>
                <w:b/>
              </w:rPr>
            </w:pPr>
            <w:r w:rsidRPr="00623957">
              <w:rPr>
                <w:rFonts w:ascii="Palatino Linotype" w:hAnsi="Palatino Linotype" w:cs="Arial"/>
                <w:b/>
              </w:rPr>
              <w:t>Zulema Martínez Sánchez</w:t>
            </w:r>
          </w:p>
          <w:p w14:paraId="6310AE25" w14:textId="77777777" w:rsidR="00373004" w:rsidRDefault="00373004" w:rsidP="0093429E">
            <w:pPr>
              <w:jc w:val="center"/>
              <w:rPr>
                <w:rFonts w:ascii="Palatino Linotype" w:hAnsi="Palatino Linotype"/>
              </w:rPr>
            </w:pPr>
            <w:r w:rsidRPr="00623957">
              <w:rPr>
                <w:rFonts w:ascii="Palatino Linotype" w:hAnsi="Palatino Linotype"/>
              </w:rPr>
              <w:t>Comisionada Presidenta</w:t>
            </w:r>
          </w:p>
          <w:p w14:paraId="6A641BA5" w14:textId="274AFE18" w:rsidR="00AB7E65" w:rsidRDefault="003909EE" w:rsidP="0093429E">
            <w:pPr>
              <w:jc w:val="center"/>
              <w:rPr>
                <w:rFonts w:ascii="Palatino Linotype" w:hAnsi="Palatino Linotype"/>
              </w:rPr>
            </w:pPr>
            <w:r>
              <w:rPr>
                <w:rFonts w:ascii="Palatino Linotype" w:hAnsi="Palatino Linotype"/>
              </w:rPr>
              <w:t>(Rúbrica)</w:t>
            </w:r>
          </w:p>
          <w:p w14:paraId="45717F71" w14:textId="10B3FE83" w:rsidR="00DA3C6B" w:rsidRDefault="00DA3C6B" w:rsidP="0093429E">
            <w:pPr>
              <w:jc w:val="center"/>
              <w:rPr>
                <w:rFonts w:ascii="Palatino Linotype" w:hAnsi="Palatino Linotype"/>
              </w:rPr>
            </w:pPr>
          </w:p>
          <w:p w14:paraId="7EE40653" w14:textId="600F97E6" w:rsidR="00D87E63" w:rsidRPr="00623957" w:rsidRDefault="00D87E63" w:rsidP="007261D7">
            <w:pPr>
              <w:jc w:val="center"/>
              <w:rPr>
                <w:rFonts w:ascii="Palatino Linotype" w:hAnsi="Palatino Linotype"/>
              </w:rPr>
            </w:pPr>
          </w:p>
        </w:tc>
      </w:tr>
      <w:tr w:rsidR="00623957" w:rsidRPr="00623957" w14:paraId="59BE7D19" w14:textId="77777777" w:rsidTr="0093429E">
        <w:trPr>
          <w:trHeight w:val="2156"/>
        </w:trPr>
        <w:tc>
          <w:tcPr>
            <w:tcW w:w="4419" w:type="dxa"/>
            <w:vAlign w:val="center"/>
          </w:tcPr>
          <w:p w14:paraId="1906F2DB" w14:textId="77777777" w:rsidR="00373004" w:rsidRPr="00623957" w:rsidRDefault="00373004" w:rsidP="0093429E">
            <w:pPr>
              <w:jc w:val="center"/>
              <w:rPr>
                <w:rFonts w:ascii="Palatino Linotype" w:hAnsi="Palatino Linotype"/>
                <w:b/>
              </w:rPr>
            </w:pPr>
            <w:r w:rsidRPr="00623957">
              <w:rPr>
                <w:rFonts w:ascii="Palatino Linotype" w:hAnsi="Palatino Linotype"/>
                <w:b/>
              </w:rPr>
              <w:lastRenderedPageBreak/>
              <w:t>Eva Abaid Yapur</w:t>
            </w:r>
          </w:p>
          <w:p w14:paraId="576EB360" w14:textId="77777777" w:rsidR="00373004" w:rsidRDefault="00373004" w:rsidP="0093429E">
            <w:pPr>
              <w:jc w:val="center"/>
              <w:rPr>
                <w:rFonts w:ascii="Palatino Linotype" w:hAnsi="Palatino Linotype"/>
              </w:rPr>
            </w:pPr>
            <w:r w:rsidRPr="00623957">
              <w:rPr>
                <w:rFonts w:ascii="Palatino Linotype" w:hAnsi="Palatino Linotype"/>
              </w:rPr>
              <w:t>Comisionada</w:t>
            </w:r>
          </w:p>
          <w:p w14:paraId="67BDA481" w14:textId="7FA19429" w:rsidR="00A97ACB" w:rsidRDefault="00A97ACB" w:rsidP="0093429E">
            <w:pPr>
              <w:jc w:val="center"/>
              <w:rPr>
                <w:rFonts w:ascii="Palatino Linotype" w:hAnsi="Palatino Linotype"/>
              </w:rPr>
            </w:pPr>
            <w:r>
              <w:rPr>
                <w:rFonts w:ascii="Palatino Linotype" w:hAnsi="Palatino Linotype"/>
              </w:rPr>
              <w:t>(</w:t>
            </w:r>
            <w:r w:rsidR="004B260C">
              <w:rPr>
                <w:rFonts w:ascii="Palatino Linotype" w:hAnsi="Palatino Linotype"/>
              </w:rPr>
              <w:t>Ausencia justificada</w:t>
            </w:r>
            <w:r>
              <w:rPr>
                <w:rFonts w:ascii="Palatino Linotype" w:hAnsi="Palatino Linotype"/>
              </w:rPr>
              <w:t>)</w:t>
            </w:r>
          </w:p>
          <w:p w14:paraId="3B0E8880" w14:textId="6437ADCC" w:rsidR="00DA3C6B" w:rsidRDefault="00DA3C6B" w:rsidP="0093429E">
            <w:pPr>
              <w:jc w:val="center"/>
              <w:rPr>
                <w:rFonts w:ascii="Palatino Linotype" w:hAnsi="Palatino Linotype"/>
              </w:rPr>
            </w:pPr>
          </w:p>
          <w:p w14:paraId="3A9F8A75" w14:textId="514345CB" w:rsidR="00833A00" w:rsidRPr="00623957" w:rsidRDefault="00833A00" w:rsidP="00D90153">
            <w:pPr>
              <w:jc w:val="center"/>
              <w:rPr>
                <w:rFonts w:ascii="Palatino Linotype" w:hAnsi="Palatino Linotype"/>
              </w:rPr>
            </w:pPr>
          </w:p>
        </w:tc>
        <w:tc>
          <w:tcPr>
            <w:tcW w:w="4419" w:type="dxa"/>
            <w:vAlign w:val="center"/>
          </w:tcPr>
          <w:p w14:paraId="3F5EC3EC" w14:textId="77777777" w:rsidR="00373004" w:rsidRPr="00623957" w:rsidRDefault="00373004" w:rsidP="0093429E">
            <w:pPr>
              <w:jc w:val="center"/>
              <w:rPr>
                <w:rFonts w:ascii="Palatino Linotype" w:hAnsi="Palatino Linotype"/>
                <w:b/>
              </w:rPr>
            </w:pPr>
            <w:r w:rsidRPr="00623957">
              <w:rPr>
                <w:rFonts w:ascii="Palatino Linotype" w:hAnsi="Palatino Linotype" w:cs="Arial"/>
                <w:b/>
              </w:rPr>
              <w:t xml:space="preserve"> José Guadalupe Luna Hernández</w:t>
            </w:r>
          </w:p>
          <w:p w14:paraId="6CB30D64" w14:textId="77777777" w:rsidR="00373004" w:rsidRDefault="00373004" w:rsidP="0093429E">
            <w:pPr>
              <w:jc w:val="center"/>
              <w:rPr>
                <w:rFonts w:ascii="Palatino Linotype" w:hAnsi="Palatino Linotype"/>
              </w:rPr>
            </w:pPr>
            <w:r w:rsidRPr="00623957">
              <w:rPr>
                <w:rFonts w:ascii="Palatino Linotype" w:hAnsi="Palatino Linotype"/>
              </w:rPr>
              <w:t xml:space="preserve">      Comisionado</w:t>
            </w:r>
          </w:p>
          <w:p w14:paraId="47D48A3E" w14:textId="0302B723" w:rsidR="00DA3C6B" w:rsidRDefault="003909EE" w:rsidP="0093429E">
            <w:pPr>
              <w:jc w:val="center"/>
              <w:rPr>
                <w:rFonts w:ascii="Palatino Linotype" w:hAnsi="Palatino Linotype"/>
              </w:rPr>
            </w:pPr>
            <w:r>
              <w:rPr>
                <w:rFonts w:ascii="Palatino Linotype" w:hAnsi="Palatino Linotype"/>
              </w:rPr>
              <w:t>(Rúbrica)</w:t>
            </w:r>
          </w:p>
          <w:p w14:paraId="318F18FD" w14:textId="1CD96486" w:rsidR="00D87E63" w:rsidRPr="00623957" w:rsidRDefault="00D87E63" w:rsidP="00A4356F">
            <w:pPr>
              <w:jc w:val="center"/>
              <w:rPr>
                <w:rFonts w:ascii="Palatino Linotype" w:hAnsi="Palatino Linotype"/>
              </w:rPr>
            </w:pPr>
            <w:r>
              <w:rPr>
                <w:rFonts w:ascii="Palatino Linotype" w:hAnsi="Palatino Linotype"/>
              </w:rPr>
              <w:t xml:space="preserve">       </w:t>
            </w:r>
          </w:p>
        </w:tc>
      </w:tr>
      <w:tr w:rsidR="00623957" w:rsidRPr="00623957" w14:paraId="378CA3F6" w14:textId="77777777" w:rsidTr="0093429E">
        <w:trPr>
          <w:trHeight w:val="1953"/>
        </w:trPr>
        <w:tc>
          <w:tcPr>
            <w:tcW w:w="8838" w:type="dxa"/>
            <w:gridSpan w:val="2"/>
            <w:vAlign w:val="center"/>
          </w:tcPr>
          <w:p w14:paraId="2C9D0623" w14:textId="77777777" w:rsidR="00A97ACB" w:rsidRDefault="00373004" w:rsidP="0093429E">
            <w:pPr>
              <w:jc w:val="center"/>
              <w:rPr>
                <w:rFonts w:ascii="Palatino Linotype" w:hAnsi="Palatino Linotype" w:cs="Arial"/>
                <w:b/>
              </w:rPr>
            </w:pPr>
            <w:r w:rsidRPr="00623957">
              <w:rPr>
                <w:rFonts w:ascii="Palatino Linotype" w:hAnsi="Palatino Linotype" w:cs="Arial"/>
                <w:b/>
              </w:rPr>
              <w:t xml:space="preserve"> </w:t>
            </w:r>
          </w:p>
          <w:p w14:paraId="0D6CF93D" w14:textId="77777777" w:rsidR="00A97ACB" w:rsidRDefault="00A97ACB" w:rsidP="0093429E">
            <w:pPr>
              <w:jc w:val="center"/>
              <w:rPr>
                <w:rFonts w:ascii="Palatino Linotype" w:hAnsi="Palatino Linotype" w:cs="Arial"/>
                <w:b/>
              </w:rPr>
            </w:pPr>
          </w:p>
          <w:p w14:paraId="28A24991" w14:textId="77777777" w:rsidR="00A97ACB" w:rsidRDefault="00A97ACB" w:rsidP="0093429E">
            <w:pPr>
              <w:jc w:val="center"/>
              <w:rPr>
                <w:rFonts w:ascii="Palatino Linotype" w:hAnsi="Palatino Linotype" w:cs="Arial"/>
                <w:b/>
              </w:rPr>
            </w:pPr>
          </w:p>
          <w:p w14:paraId="22314A14" w14:textId="1F013C24" w:rsidR="00373004" w:rsidRPr="00623957" w:rsidRDefault="00373004" w:rsidP="0093429E">
            <w:pPr>
              <w:jc w:val="center"/>
              <w:rPr>
                <w:rFonts w:ascii="Palatino Linotype" w:hAnsi="Palatino Linotype" w:cs="Arial"/>
                <w:b/>
              </w:rPr>
            </w:pPr>
            <w:r w:rsidRPr="00623957">
              <w:rPr>
                <w:rFonts w:ascii="Palatino Linotype" w:hAnsi="Palatino Linotype" w:cs="Arial"/>
                <w:b/>
              </w:rPr>
              <w:t xml:space="preserve">Javier Martínez Cruz           </w:t>
            </w:r>
            <w:r w:rsidR="00DA57EB">
              <w:rPr>
                <w:rFonts w:ascii="Palatino Linotype" w:hAnsi="Palatino Linotype" w:cs="Arial"/>
                <w:b/>
              </w:rPr>
              <w:t xml:space="preserve">                     </w:t>
            </w:r>
            <w:r w:rsidRPr="00623957">
              <w:rPr>
                <w:rFonts w:ascii="Palatino Linotype" w:hAnsi="Palatino Linotype" w:cs="Arial"/>
                <w:b/>
              </w:rPr>
              <w:t xml:space="preserve">           </w:t>
            </w:r>
          </w:p>
          <w:p w14:paraId="40F06027" w14:textId="77777777" w:rsidR="001665F3" w:rsidRDefault="00373004" w:rsidP="00AB7E65">
            <w:pPr>
              <w:jc w:val="center"/>
              <w:rPr>
                <w:rFonts w:ascii="Palatino Linotype" w:hAnsi="Palatino Linotype" w:cs="Arial"/>
              </w:rPr>
            </w:pPr>
            <w:r w:rsidRPr="00623957">
              <w:rPr>
                <w:rFonts w:ascii="Palatino Linotype" w:hAnsi="Palatino Linotype" w:cs="Arial"/>
              </w:rPr>
              <w:t>Comisionado</w:t>
            </w:r>
          </w:p>
          <w:p w14:paraId="5A0CE0E8" w14:textId="1A387A15" w:rsidR="00AB7E65" w:rsidRDefault="003909EE" w:rsidP="00E4553A">
            <w:pPr>
              <w:jc w:val="center"/>
              <w:rPr>
                <w:rFonts w:ascii="Palatino Linotype" w:hAnsi="Palatino Linotype" w:cs="Arial"/>
              </w:rPr>
            </w:pPr>
            <w:r>
              <w:rPr>
                <w:rFonts w:ascii="Palatino Linotype" w:hAnsi="Palatino Linotype"/>
              </w:rPr>
              <w:t>(Rúbrica)</w:t>
            </w:r>
          </w:p>
          <w:p w14:paraId="57F39AF6" w14:textId="230E8FB9" w:rsidR="00E4553A" w:rsidRPr="00623957" w:rsidRDefault="00E4553A" w:rsidP="00E4553A">
            <w:pPr>
              <w:jc w:val="center"/>
              <w:rPr>
                <w:rFonts w:ascii="Palatino Linotype" w:hAnsi="Palatino Linotype" w:cs="Arial"/>
              </w:rPr>
            </w:pPr>
          </w:p>
        </w:tc>
      </w:tr>
      <w:tr w:rsidR="00623957" w:rsidRPr="00623957" w14:paraId="41ECFB5D" w14:textId="77777777" w:rsidTr="0093429E">
        <w:trPr>
          <w:trHeight w:val="1544"/>
        </w:trPr>
        <w:tc>
          <w:tcPr>
            <w:tcW w:w="8838" w:type="dxa"/>
            <w:gridSpan w:val="2"/>
            <w:vAlign w:val="center"/>
          </w:tcPr>
          <w:p w14:paraId="03F69478" w14:textId="77777777" w:rsidR="00F7750F" w:rsidRDefault="00F7750F" w:rsidP="0093429E">
            <w:pPr>
              <w:jc w:val="center"/>
              <w:rPr>
                <w:rFonts w:ascii="Palatino Linotype" w:hAnsi="Palatino Linotype" w:cs="Arial"/>
                <w:b/>
              </w:rPr>
            </w:pPr>
          </w:p>
          <w:p w14:paraId="2D0DBBA7" w14:textId="77777777" w:rsidR="0045451A" w:rsidRDefault="0045451A" w:rsidP="0093429E">
            <w:pPr>
              <w:jc w:val="center"/>
              <w:rPr>
                <w:rFonts w:ascii="Palatino Linotype" w:hAnsi="Palatino Linotype" w:cs="Arial"/>
                <w:b/>
              </w:rPr>
            </w:pPr>
          </w:p>
          <w:p w14:paraId="02E4C997" w14:textId="77777777" w:rsidR="0045451A" w:rsidRPr="00623957" w:rsidRDefault="0045451A" w:rsidP="0093429E">
            <w:pPr>
              <w:jc w:val="center"/>
              <w:rPr>
                <w:rFonts w:ascii="Palatino Linotype" w:hAnsi="Palatino Linotype" w:cs="Arial"/>
                <w:b/>
              </w:rPr>
            </w:pPr>
          </w:p>
          <w:p w14:paraId="5BEF0371" w14:textId="7F7AAEA6" w:rsidR="00373004" w:rsidRPr="00623957" w:rsidRDefault="00AB7E65" w:rsidP="0093429E">
            <w:pPr>
              <w:jc w:val="center"/>
              <w:rPr>
                <w:rFonts w:ascii="Palatino Linotype" w:hAnsi="Palatino Linotype"/>
                <w:b/>
              </w:rPr>
            </w:pPr>
            <w:r>
              <w:rPr>
                <w:rFonts w:ascii="Palatino Linotype" w:hAnsi="Palatino Linotype" w:cs="Arial"/>
                <w:b/>
              </w:rPr>
              <w:t>Alexis Tapia Ramírez</w:t>
            </w:r>
          </w:p>
          <w:p w14:paraId="56930203" w14:textId="570D00B8" w:rsidR="00373004" w:rsidRDefault="00AB7E65" w:rsidP="0093429E">
            <w:pPr>
              <w:jc w:val="center"/>
              <w:rPr>
                <w:rFonts w:ascii="Palatino Linotype" w:hAnsi="Palatino Linotype"/>
              </w:rPr>
            </w:pPr>
            <w:r>
              <w:rPr>
                <w:rFonts w:ascii="Palatino Linotype" w:hAnsi="Palatino Linotype"/>
              </w:rPr>
              <w:t>Secretario Técnico</w:t>
            </w:r>
            <w:r w:rsidR="00373004" w:rsidRPr="00623957">
              <w:rPr>
                <w:rFonts w:ascii="Palatino Linotype" w:hAnsi="Palatino Linotype"/>
              </w:rPr>
              <w:t xml:space="preserve"> del Pleno</w:t>
            </w:r>
          </w:p>
          <w:p w14:paraId="2BE411EE" w14:textId="03B02C3C" w:rsidR="00F7750F" w:rsidRDefault="003909EE" w:rsidP="00A7765D">
            <w:pPr>
              <w:jc w:val="center"/>
              <w:rPr>
                <w:rFonts w:ascii="Palatino Linotype" w:hAnsi="Palatino Linotype"/>
              </w:rPr>
            </w:pPr>
            <w:r>
              <w:rPr>
                <w:rFonts w:ascii="Palatino Linotype" w:hAnsi="Palatino Linotype"/>
              </w:rPr>
              <w:t>(Rúbrica)</w:t>
            </w:r>
          </w:p>
          <w:p w14:paraId="7B63E249" w14:textId="004D2DD6" w:rsidR="00A97ACB" w:rsidRPr="00623957" w:rsidRDefault="00A97ACB" w:rsidP="00A7765D">
            <w:pPr>
              <w:jc w:val="center"/>
              <w:rPr>
                <w:rFonts w:ascii="Palatino Linotype" w:hAnsi="Palatino Linotype"/>
              </w:rPr>
            </w:pPr>
          </w:p>
        </w:tc>
      </w:tr>
    </w:tbl>
    <w:p w14:paraId="3B73E78B" w14:textId="55F775DE" w:rsidR="00373004" w:rsidRPr="00A97ACB" w:rsidRDefault="00373004" w:rsidP="00373004">
      <w:pPr>
        <w:jc w:val="both"/>
        <w:rPr>
          <w:rFonts w:ascii="Palatino Linotype" w:hAnsi="Palatino Linotype" w:cs="Arial"/>
          <w:sz w:val="20"/>
        </w:rPr>
      </w:pPr>
      <w:r w:rsidRPr="00A97ACB">
        <w:rPr>
          <w:rFonts w:ascii="Palatino Linotype" w:hAnsi="Palatino Linotype" w:cs="Arial"/>
          <w:sz w:val="20"/>
        </w:rPr>
        <w:t xml:space="preserve">Esta hoja corresponde a la resolución de </w:t>
      </w:r>
      <w:r w:rsidR="00E3735E">
        <w:rPr>
          <w:rFonts w:ascii="Palatino Linotype" w:hAnsi="Palatino Linotype" w:cs="Arial"/>
          <w:sz w:val="20"/>
        </w:rPr>
        <w:t>ocho</w:t>
      </w:r>
      <w:r w:rsidRPr="00A97ACB">
        <w:rPr>
          <w:rFonts w:ascii="Palatino Linotype" w:hAnsi="Palatino Linotype" w:cs="Arial"/>
          <w:sz w:val="20"/>
        </w:rPr>
        <w:t xml:space="preserve"> de </w:t>
      </w:r>
      <w:r w:rsidR="00A97ACB">
        <w:rPr>
          <w:rFonts w:ascii="Palatino Linotype" w:hAnsi="Palatino Linotype" w:cs="Arial"/>
          <w:sz w:val="20"/>
        </w:rPr>
        <w:t>agosto</w:t>
      </w:r>
      <w:r w:rsidRPr="00A97ACB">
        <w:rPr>
          <w:rFonts w:ascii="Palatino Linotype" w:hAnsi="Palatino Linotype" w:cs="Arial"/>
          <w:sz w:val="20"/>
        </w:rPr>
        <w:t xml:space="preserve"> de dos mil </w:t>
      </w:r>
      <w:r w:rsidR="00833A00" w:rsidRPr="00A97ACB">
        <w:rPr>
          <w:rFonts w:ascii="Palatino Linotype" w:hAnsi="Palatino Linotype" w:cs="Arial"/>
          <w:sz w:val="20"/>
        </w:rPr>
        <w:t>dieciocho</w:t>
      </w:r>
      <w:r w:rsidR="00AB7E65" w:rsidRPr="00A97ACB">
        <w:rPr>
          <w:rFonts w:ascii="Palatino Linotype" w:hAnsi="Palatino Linotype" w:cs="Arial"/>
          <w:sz w:val="20"/>
        </w:rPr>
        <w:t>, emitida en los</w:t>
      </w:r>
      <w:r w:rsidRPr="00A97ACB">
        <w:rPr>
          <w:rFonts w:ascii="Palatino Linotype" w:hAnsi="Palatino Linotype" w:cs="Arial"/>
          <w:sz w:val="20"/>
        </w:rPr>
        <w:t xml:space="preserve"> recurso</w:t>
      </w:r>
      <w:r w:rsidR="00AB7E65" w:rsidRPr="00A97ACB">
        <w:rPr>
          <w:rFonts w:ascii="Palatino Linotype" w:hAnsi="Palatino Linotype" w:cs="Arial"/>
          <w:sz w:val="20"/>
        </w:rPr>
        <w:t>s</w:t>
      </w:r>
      <w:r w:rsidRPr="00A97ACB">
        <w:rPr>
          <w:rFonts w:ascii="Palatino Linotype" w:hAnsi="Palatino Linotype" w:cs="Arial"/>
          <w:sz w:val="20"/>
        </w:rPr>
        <w:t xml:space="preserve"> de revisión </w:t>
      </w:r>
      <w:r w:rsidR="00E3735E">
        <w:rPr>
          <w:rFonts w:ascii="Palatino Linotype" w:hAnsi="Palatino Linotype" w:cs="Arial"/>
          <w:b/>
          <w:bCs/>
          <w:sz w:val="20"/>
        </w:rPr>
        <w:t>02179</w:t>
      </w:r>
      <w:r w:rsidR="00BF7463" w:rsidRPr="00A97ACB">
        <w:rPr>
          <w:rFonts w:ascii="Palatino Linotype" w:hAnsi="Palatino Linotype" w:cs="Arial"/>
          <w:b/>
          <w:bCs/>
          <w:sz w:val="20"/>
        </w:rPr>
        <w:t>/INFOEM/IP</w:t>
      </w:r>
      <w:r w:rsidRPr="00A97ACB">
        <w:rPr>
          <w:rFonts w:ascii="Palatino Linotype" w:hAnsi="Palatino Linotype" w:cs="Arial"/>
          <w:b/>
          <w:bCs/>
          <w:sz w:val="20"/>
        </w:rPr>
        <w:t>/RR/201</w:t>
      </w:r>
      <w:r w:rsidR="0094784F" w:rsidRPr="00A97ACB">
        <w:rPr>
          <w:rFonts w:ascii="Palatino Linotype" w:hAnsi="Palatino Linotype" w:cs="Arial"/>
          <w:b/>
          <w:bCs/>
          <w:sz w:val="20"/>
        </w:rPr>
        <w:t>8 y acumulados</w:t>
      </w:r>
      <w:r w:rsidRPr="00A97ACB">
        <w:rPr>
          <w:rFonts w:ascii="Palatino Linotype" w:hAnsi="Palatino Linotype" w:cs="Arial"/>
          <w:sz w:val="20"/>
        </w:rPr>
        <w:t>.</w:t>
      </w:r>
    </w:p>
    <w:sectPr w:rsidR="00373004" w:rsidRPr="00A97ACB" w:rsidSect="00C60714">
      <w:headerReference w:type="default" r:id="rId11"/>
      <w:footerReference w:type="default" r:id="rId12"/>
      <w:headerReference w:type="first" r:id="rId13"/>
      <w:footerReference w:type="first" r:id="rId14"/>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FC0ED" w14:textId="77777777" w:rsidR="005B672D" w:rsidRDefault="005B672D" w:rsidP="00C80F8C">
      <w:r>
        <w:separator/>
      </w:r>
    </w:p>
  </w:endnote>
  <w:endnote w:type="continuationSeparator" w:id="0">
    <w:p w14:paraId="057E3B29" w14:textId="77777777" w:rsidR="005B672D" w:rsidRDefault="005B672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8916F8" w:rsidRDefault="008916F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53D5D">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53D5D">
      <w:rPr>
        <w:rFonts w:ascii="Arial" w:hAnsi="Arial" w:cs="Arial"/>
        <w:b/>
        <w:bCs/>
        <w:noProof/>
        <w:sz w:val="20"/>
        <w:szCs w:val="20"/>
      </w:rPr>
      <w:t>42</w:t>
    </w:r>
    <w:r>
      <w:rPr>
        <w:rFonts w:ascii="Arial" w:hAnsi="Arial" w:cs="Arial"/>
        <w:b/>
        <w:bCs/>
        <w:sz w:val="20"/>
        <w:szCs w:val="20"/>
      </w:rPr>
      <w:fldChar w:fldCharType="end"/>
    </w:r>
  </w:p>
  <w:p w14:paraId="1192A578" w14:textId="77777777" w:rsidR="008916F8" w:rsidRDefault="008916F8" w:rsidP="00935A0D">
    <w:pPr>
      <w:pStyle w:val="Piedepgina"/>
      <w:rPr>
        <w:rFonts w:ascii="Times New Roman" w:hAnsi="Times New Roman" w:cs="Times New Roman"/>
      </w:rPr>
    </w:pPr>
  </w:p>
  <w:p w14:paraId="14A770F8" w14:textId="77777777" w:rsidR="008916F8" w:rsidRDefault="008916F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8916F8" w:rsidRDefault="008916F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53D5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53D5D">
      <w:rPr>
        <w:rFonts w:ascii="Arial" w:hAnsi="Arial" w:cs="Arial"/>
        <w:b/>
        <w:bCs/>
        <w:noProof/>
        <w:sz w:val="20"/>
        <w:szCs w:val="20"/>
      </w:rPr>
      <w:t>42</w:t>
    </w:r>
    <w:r>
      <w:rPr>
        <w:rFonts w:ascii="Arial" w:hAnsi="Arial" w:cs="Arial"/>
        <w:b/>
        <w:bCs/>
        <w:sz w:val="20"/>
        <w:szCs w:val="20"/>
      </w:rPr>
      <w:fldChar w:fldCharType="end"/>
    </w:r>
  </w:p>
  <w:p w14:paraId="5D98ABD5" w14:textId="77777777" w:rsidR="008916F8" w:rsidRDefault="00891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D3694" w14:textId="77777777" w:rsidR="005B672D" w:rsidRDefault="005B672D" w:rsidP="00C80F8C">
      <w:r>
        <w:separator/>
      </w:r>
    </w:p>
  </w:footnote>
  <w:footnote w:type="continuationSeparator" w:id="0">
    <w:p w14:paraId="5C1EFB19" w14:textId="77777777" w:rsidR="005B672D" w:rsidRDefault="005B672D" w:rsidP="00C80F8C">
      <w:r>
        <w:continuationSeparator/>
      </w:r>
    </w:p>
  </w:footnote>
  <w:footnote w:id="1">
    <w:p w14:paraId="74AE126F" w14:textId="77777777" w:rsidR="008916F8" w:rsidRPr="00A97DD5" w:rsidRDefault="008916F8" w:rsidP="00F7079A">
      <w:pPr>
        <w:pStyle w:val="Textonotapie"/>
        <w:jc w:val="both"/>
        <w:rPr>
          <w:rFonts w:ascii="Palatino Linotype" w:hAnsi="Palatino Linotype"/>
          <w:sz w:val="18"/>
          <w:szCs w:val="18"/>
        </w:rPr>
      </w:pPr>
      <w:r>
        <w:rPr>
          <w:rStyle w:val="Refdenotaalpie"/>
        </w:rPr>
        <w:footnoteRef/>
      </w:r>
      <w:r>
        <w:t xml:space="preserve"> </w:t>
      </w:r>
      <w:r w:rsidRPr="00A97DD5">
        <w:rPr>
          <w:rFonts w:ascii="Palatino Linotype" w:hAnsi="Palatino Linotype"/>
          <w:sz w:val="18"/>
          <w:szCs w:val="18"/>
        </w:rPr>
        <w:t>“Artículo 2. Para los efectos de la presente Ley, se entenderá por (…)</w:t>
      </w:r>
    </w:p>
    <w:p w14:paraId="55061659" w14:textId="77777777" w:rsidR="008916F8" w:rsidRPr="00B24AD6" w:rsidRDefault="008916F8" w:rsidP="00F7079A">
      <w:pPr>
        <w:pStyle w:val="Textonotapie"/>
        <w:jc w:val="both"/>
        <w:rPr>
          <w:rFonts w:ascii="Palatino Linotype" w:hAnsi="Palatino Linotype"/>
          <w:sz w:val="18"/>
          <w:szCs w:val="18"/>
        </w:rPr>
      </w:pPr>
      <w:r w:rsidRPr="00A97DD5">
        <w:rPr>
          <w:rFonts w:ascii="Palatino Linotype" w:hAnsi="Palatino Linotype"/>
          <w:sz w:val="18"/>
          <w:szCs w:val="18"/>
        </w:rPr>
        <w:t>XI. Informe Mensual: Al documento que mensualmente envían para su análisis al Órgano Superior de Fiscalización de la Legislatura, las Tesorerías Municipales y la Secretaría de Finanzas;…”</w:t>
      </w:r>
    </w:p>
  </w:footnote>
  <w:footnote w:id="2">
    <w:p w14:paraId="65942F11" w14:textId="3835C86D" w:rsidR="008916F8" w:rsidRPr="00F7079A" w:rsidRDefault="008916F8" w:rsidP="00F7079A">
      <w:pPr>
        <w:pStyle w:val="Textonotapie"/>
        <w:rPr>
          <w:color w:val="000000" w:themeColor="text1"/>
        </w:rPr>
      </w:pPr>
      <w:r>
        <w:rPr>
          <w:rStyle w:val="Refdenotaalpie"/>
        </w:rPr>
        <w:footnoteRef/>
      </w:r>
      <w:r>
        <w:t xml:space="preserve"> </w:t>
      </w:r>
      <w:hyperlink r:id="rId1" w:history="1">
        <w:r w:rsidRPr="00F7079A">
          <w:rPr>
            <w:rStyle w:val="Hipervnculo"/>
            <w:rFonts w:ascii="Palatino Linotype" w:hAnsi="Palatino Linotype"/>
            <w:color w:val="000000" w:themeColor="text1"/>
            <w:sz w:val="18"/>
            <w:szCs w:val="18"/>
            <w:u w:val="none"/>
          </w:rPr>
          <w:t>http://www.osfem.gob.mx/04_Normatividad/doc/Normatividad/2017/10_LinInfMenMpales17.pdf</w:t>
        </w:r>
      </w:hyperlink>
    </w:p>
  </w:footnote>
  <w:footnote w:id="3">
    <w:p w14:paraId="27A8DF60" w14:textId="77777777" w:rsidR="00FD5AD3" w:rsidRPr="00FD5AD3" w:rsidRDefault="00FD5AD3" w:rsidP="00FD5AD3">
      <w:pPr>
        <w:tabs>
          <w:tab w:val="left" w:pos="7655"/>
        </w:tabs>
        <w:ind w:right="49"/>
        <w:jc w:val="both"/>
        <w:rPr>
          <w:rFonts w:ascii="Palatino Linotype" w:hAnsi="Palatino Linotype"/>
          <w:sz w:val="18"/>
          <w:szCs w:val="22"/>
        </w:rPr>
      </w:pPr>
      <w:r>
        <w:rPr>
          <w:rStyle w:val="Refdenotaalpie"/>
        </w:rPr>
        <w:footnoteRef/>
      </w:r>
      <w:r>
        <w:t xml:space="preserve"> </w:t>
      </w:r>
      <w:r w:rsidRPr="00FD5AD3">
        <w:rPr>
          <w:rFonts w:ascii="Palatino Linotype" w:hAnsi="Palatino Linotype"/>
          <w:sz w:val="18"/>
          <w:szCs w:val="22"/>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148E3EAB" w14:textId="77777777" w:rsidR="00FD5AD3" w:rsidRPr="00FD5AD3" w:rsidRDefault="00FD5AD3" w:rsidP="00FD5AD3">
      <w:pPr>
        <w:tabs>
          <w:tab w:val="left" w:pos="7655"/>
        </w:tabs>
        <w:ind w:right="49"/>
        <w:jc w:val="both"/>
        <w:rPr>
          <w:rFonts w:ascii="Palatino Linotype" w:hAnsi="Palatino Linotype"/>
          <w:sz w:val="18"/>
          <w:szCs w:val="22"/>
        </w:rPr>
      </w:pPr>
      <w:r w:rsidRPr="00FD5AD3">
        <w:rPr>
          <w:rFonts w:ascii="Palatino Linotype" w:hAnsi="Palatino Linotype"/>
          <w:sz w:val="18"/>
          <w:szCs w:val="22"/>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w:t>
      </w:r>
    </w:p>
    <w:p w14:paraId="3006E2F7" w14:textId="77777777" w:rsidR="00FD5AD3" w:rsidRPr="00FD5AD3" w:rsidRDefault="00FD5AD3" w:rsidP="00FD5AD3">
      <w:pPr>
        <w:tabs>
          <w:tab w:val="left" w:pos="7655"/>
        </w:tabs>
        <w:ind w:right="49"/>
        <w:jc w:val="both"/>
        <w:rPr>
          <w:rFonts w:ascii="Palatino Linotype" w:hAnsi="Palatino Linotype"/>
          <w:sz w:val="18"/>
          <w:szCs w:val="22"/>
        </w:rPr>
      </w:pPr>
      <w:r w:rsidRPr="00FD5AD3">
        <w:rPr>
          <w:rFonts w:ascii="Palatino Linotype" w:hAnsi="Palatino Linotype"/>
          <w:sz w:val="18"/>
          <w:szCs w:val="22"/>
        </w:rPr>
        <w:t>“Artículo 345.-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w:t>
      </w:r>
    </w:p>
    <w:p w14:paraId="5D27DD32" w14:textId="48640F56" w:rsidR="00FD5AD3" w:rsidRPr="00FD5AD3" w:rsidRDefault="00FD5AD3" w:rsidP="00FD5AD3">
      <w:pPr>
        <w:tabs>
          <w:tab w:val="left" w:pos="7655"/>
        </w:tabs>
        <w:ind w:right="49"/>
        <w:jc w:val="both"/>
        <w:rPr>
          <w:rFonts w:ascii="Palatino Linotype" w:hAnsi="Palatino Linotype"/>
          <w:i/>
          <w:sz w:val="22"/>
          <w:szCs w:val="22"/>
        </w:rPr>
      </w:pPr>
      <w:r w:rsidRPr="00FD5AD3">
        <w:rPr>
          <w:rFonts w:ascii="Palatino Linotype" w:hAnsi="Palatino Linotype"/>
          <w:sz w:val="18"/>
          <w:szCs w:val="22"/>
        </w:rPr>
        <w:t>“Artículo 349.- Las Dependencias, Entidades Públicas y unidades administrativas proporcionarán con la periodicidad que determinen la Secretaría y las tesorerías, la información contable que comprenderá la patrimonial y presupuestal, para la integración de los estados financieros…”</w:t>
      </w:r>
    </w:p>
  </w:footnote>
  <w:footnote w:id="4">
    <w:p w14:paraId="104C80C2" w14:textId="77777777" w:rsidR="00990A59" w:rsidRPr="009F0915" w:rsidRDefault="00990A59" w:rsidP="00990A59">
      <w:pPr>
        <w:pStyle w:val="Textonotapie"/>
        <w:jc w:val="both"/>
        <w:rPr>
          <w:rFonts w:ascii="Palatino Linotype" w:hAnsi="Palatino Linotype"/>
          <w:sz w:val="19"/>
          <w:szCs w:val="19"/>
        </w:rPr>
      </w:pPr>
      <w:r>
        <w:rPr>
          <w:rStyle w:val="Refdenotaalpie"/>
        </w:rPr>
        <w:footnoteRef/>
      </w:r>
      <w:r>
        <w:t xml:space="preserve"> </w:t>
      </w:r>
      <w:r w:rsidRPr="00FD5AD3">
        <w:rPr>
          <w:rFonts w:ascii="Palatino Linotype" w:hAnsi="Palatino Linotype"/>
          <w:sz w:val="18"/>
          <w:szCs w:val="18"/>
        </w:rPr>
        <w:t>“Artículo 16.67.- La fecha de pago al Proveedor que la Unidad Contratante estipule en el Contrato quedará sujeta a las condiciones que establezca el mismo; sin embargo, no podrá exceder de cuarenta y cinco días naturales posteriores a la presentación de la factura respectiva, previa prestación de los servicios en los términos del Contrato.”</w:t>
      </w:r>
    </w:p>
  </w:footnote>
  <w:footnote w:id="5">
    <w:p w14:paraId="6A171484" w14:textId="41E7B336" w:rsidR="00BF23BF" w:rsidRPr="00BF23BF" w:rsidRDefault="00BF23BF">
      <w:pPr>
        <w:pStyle w:val="Textonotapie"/>
        <w:rPr>
          <w:rFonts w:ascii="Palatino Linotype" w:hAnsi="Palatino Linotype"/>
          <w:sz w:val="18"/>
        </w:rPr>
      </w:pPr>
      <w:r>
        <w:rPr>
          <w:rStyle w:val="Refdenotaalpie"/>
        </w:rPr>
        <w:footnoteRef/>
      </w:r>
      <w:r w:rsidRPr="00BF23BF">
        <w:rPr>
          <w:rFonts w:ascii="Palatino Linotype" w:hAnsi="Palatino Linotype"/>
          <w:sz w:val="18"/>
        </w:rPr>
        <w:t>https://www.ipomex.org.mx/ipo/lgt/indice/melchorocampo/licitaciones.web?q=auditorio&amp;cx=011165733734174506528%3Ag366o9-1iwg&amp;cof=FORID%3A11&amp;ie=UTF-8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2" w:type="dxa"/>
      <w:tblInd w:w="2835" w:type="dxa"/>
      <w:tblLayout w:type="fixed"/>
      <w:tblLook w:val="04A0" w:firstRow="1" w:lastRow="0" w:firstColumn="1" w:lastColumn="0" w:noHBand="0" w:noVBand="1"/>
    </w:tblPr>
    <w:tblGrid>
      <w:gridCol w:w="2694"/>
      <w:gridCol w:w="2978"/>
    </w:tblGrid>
    <w:tr w:rsidR="008916F8" w14:paraId="6B4E3B81" w14:textId="77777777" w:rsidTr="00251B17">
      <w:tc>
        <w:tcPr>
          <w:tcW w:w="2694" w:type="dxa"/>
          <w:vAlign w:val="center"/>
          <w:hideMark/>
        </w:tcPr>
        <w:p w14:paraId="0ABBC6C0" w14:textId="77777777" w:rsidR="008916F8" w:rsidRDefault="008916F8"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8" w:type="dxa"/>
          <w:vAlign w:val="center"/>
          <w:hideMark/>
        </w:tcPr>
        <w:p w14:paraId="60C471CA" w14:textId="0EDBB0E1" w:rsidR="008916F8" w:rsidRDefault="008916F8" w:rsidP="00707C30">
          <w:pPr>
            <w:jc w:val="both"/>
            <w:rPr>
              <w:rFonts w:ascii="Palatino Linotype" w:hAnsi="Palatino Linotype"/>
              <w:b/>
              <w:sz w:val="22"/>
              <w:szCs w:val="22"/>
              <w:lang w:val="es-ES_tradnl"/>
            </w:rPr>
          </w:pPr>
          <w:r>
            <w:rPr>
              <w:rFonts w:ascii="Palatino Linotype" w:hAnsi="Palatino Linotype"/>
              <w:b/>
              <w:sz w:val="22"/>
              <w:szCs w:val="22"/>
              <w:lang w:val="es-ES_tradnl"/>
            </w:rPr>
            <w:t>02179/INFOEM/IP/RR/2018 y acumulados</w:t>
          </w:r>
        </w:p>
      </w:tc>
    </w:tr>
    <w:tr w:rsidR="008916F8" w14:paraId="31CB780F" w14:textId="77777777" w:rsidTr="00251B17">
      <w:trPr>
        <w:trHeight w:val="228"/>
      </w:trPr>
      <w:tc>
        <w:tcPr>
          <w:tcW w:w="2694" w:type="dxa"/>
          <w:vAlign w:val="center"/>
          <w:hideMark/>
        </w:tcPr>
        <w:p w14:paraId="4F49CB4A" w14:textId="77777777" w:rsidR="008916F8" w:rsidRDefault="008916F8"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8" w:type="dxa"/>
          <w:vAlign w:val="center"/>
          <w:hideMark/>
        </w:tcPr>
        <w:p w14:paraId="5D08B318" w14:textId="771C856E" w:rsidR="008916F8" w:rsidRDefault="008916F8" w:rsidP="004C33BE">
          <w:pPr>
            <w:jc w:val="both"/>
            <w:rPr>
              <w:rFonts w:ascii="Palatino Linotype" w:hAnsi="Palatino Linotype"/>
              <w:b/>
              <w:sz w:val="22"/>
              <w:szCs w:val="22"/>
              <w:lang w:val="es-ES_tradnl"/>
            </w:rPr>
          </w:pPr>
          <w:r>
            <w:rPr>
              <w:rFonts w:ascii="Palatino Linotype" w:hAnsi="Palatino Linotype"/>
              <w:b/>
              <w:sz w:val="22"/>
              <w:szCs w:val="22"/>
              <w:lang w:val="es-ES_tradnl"/>
            </w:rPr>
            <w:t>Ayuntamiento de Melchor Ocampo</w:t>
          </w:r>
        </w:p>
      </w:tc>
    </w:tr>
    <w:tr w:rsidR="008916F8" w14:paraId="69050F56" w14:textId="77777777" w:rsidTr="00251B17">
      <w:tc>
        <w:tcPr>
          <w:tcW w:w="2694" w:type="dxa"/>
          <w:vAlign w:val="center"/>
          <w:hideMark/>
        </w:tcPr>
        <w:p w14:paraId="65C9B735" w14:textId="3CB772C2" w:rsidR="008916F8" w:rsidRDefault="008916F8"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8" w:type="dxa"/>
          <w:vAlign w:val="center"/>
          <w:hideMark/>
        </w:tcPr>
        <w:p w14:paraId="06864B57" w14:textId="21CAEFF5" w:rsidR="008916F8" w:rsidRDefault="008916F8"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2599BC21" w:rsidR="008916F8" w:rsidRDefault="008916F8"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36932FFE" w:rsidR="008916F8" w:rsidRDefault="008916F8" w:rsidP="004515B0">
    <w:pPr>
      <w:pStyle w:val="Encabezado"/>
      <w:tabs>
        <w:tab w:val="left" w:pos="5812"/>
      </w:tabs>
      <w:jc w:val="both"/>
    </w:pPr>
    <w:r>
      <w:t xml:space="preserve">                                  </w:t>
    </w:r>
  </w:p>
  <w:tbl>
    <w:tblPr>
      <w:tblW w:w="6521" w:type="dxa"/>
      <w:tblInd w:w="2410" w:type="dxa"/>
      <w:tblLayout w:type="fixed"/>
      <w:tblLook w:val="04A0" w:firstRow="1" w:lastRow="0" w:firstColumn="1" w:lastColumn="0" w:noHBand="0" w:noVBand="1"/>
    </w:tblPr>
    <w:tblGrid>
      <w:gridCol w:w="2694"/>
      <w:gridCol w:w="3827"/>
    </w:tblGrid>
    <w:tr w:rsidR="008916F8" w14:paraId="477E149B" w14:textId="77777777" w:rsidTr="004C33BE">
      <w:tc>
        <w:tcPr>
          <w:tcW w:w="2694" w:type="dxa"/>
          <w:vAlign w:val="center"/>
          <w:hideMark/>
        </w:tcPr>
        <w:p w14:paraId="5C0586E4" w14:textId="77777777" w:rsidR="008916F8" w:rsidRDefault="008916F8"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827" w:type="dxa"/>
          <w:vAlign w:val="center"/>
          <w:hideMark/>
        </w:tcPr>
        <w:p w14:paraId="5B14C95E" w14:textId="70D6F4B2" w:rsidR="008916F8" w:rsidRDefault="008916F8" w:rsidP="001338B7">
          <w:pPr>
            <w:jc w:val="both"/>
            <w:rPr>
              <w:rFonts w:ascii="Palatino Linotype" w:hAnsi="Palatino Linotype"/>
              <w:b/>
              <w:sz w:val="22"/>
              <w:szCs w:val="22"/>
              <w:lang w:val="es-ES_tradnl"/>
            </w:rPr>
          </w:pPr>
          <w:r>
            <w:rPr>
              <w:rFonts w:ascii="Palatino Linotype" w:hAnsi="Palatino Linotype"/>
              <w:b/>
              <w:sz w:val="22"/>
              <w:szCs w:val="22"/>
              <w:lang w:val="es-ES_tradnl"/>
            </w:rPr>
            <w:t>02179/INFOEM/IP/RR/2018 y acumulados</w:t>
          </w:r>
        </w:p>
      </w:tc>
    </w:tr>
    <w:tr w:rsidR="008916F8" w14:paraId="5B5BE21C" w14:textId="77777777" w:rsidTr="004C33BE">
      <w:tc>
        <w:tcPr>
          <w:tcW w:w="2694" w:type="dxa"/>
          <w:vAlign w:val="center"/>
          <w:hideMark/>
        </w:tcPr>
        <w:p w14:paraId="4AE96902" w14:textId="77777777" w:rsidR="008916F8" w:rsidRDefault="008916F8"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827" w:type="dxa"/>
          <w:vAlign w:val="center"/>
          <w:hideMark/>
        </w:tcPr>
        <w:p w14:paraId="776E3E60" w14:textId="77A3F95C" w:rsidR="008916F8" w:rsidRDefault="00BA7E4D" w:rsidP="00BA7E4D">
          <w:pPr>
            <w:jc w:val="both"/>
            <w:rPr>
              <w:rFonts w:ascii="Palatino Linotype" w:hAnsi="Palatino Linotype"/>
              <w:b/>
              <w:sz w:val="22"/>
              <w:szCs w:val="22"/>
              <w:lang w:val="es-ES_tradnl"/>
            </w:rPr>
          </w:pPr>
          <w:r>
            <w:rPr>
              <w:rFonts w:ascii="Palatino Linotype" w:hAnsi="Palatino Linotype"/>
              <w:b/>
              <w:sz w:val="22"/>
              <w:szCs w:val="22"/>
              <w:lang w:val="es-ES_tradnl"/>
            </w:rPr>
            <w:t>Xxxxxxx Xxxxxxxx X</w:t>
          </w:r>
        </w:p>
      </w:tc>
    </w:tr>
    <w:tr w:rsidR="008916F8" w14:paraId="22601A11" w14:textId="77777777" w:rsidTr="004C33BE">
      <w:trPr>
        <w:trHeight w:val="228"/>
      </w:trPr>
      <w:tc>
        <w:tcPr>
          <w:tcW w:w="2694" w:type="dxa"/>
          <w:vAlign w:val="center"/>
          <w:hideMark/>
        </w:tcPr>
        <w:p w14:paraId="6EFE221D" w14:textId="77777777" w:rsidR="008916F8" w:rsidRDefault="008916F8"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827" w:type="dxa"/>
          <w:vAlign w:val="center"/>
          <w:hideMark/>
        </w:tcPr>
        <w:p w14:paraId="266F997D" w14:textId="3165694D" w:rsidR="008916F8" w:rsidRDefault="008916F8" w:rsidP="004C33BE">
          <w:pPr>
            <w:jc w:val="both"/>
            <w:rPr>
              <w:rFonts w:ascii="Palatino Linotype" w:hAnsi="Palatino Linotype"/>
              <w:b/>
              <w:sz w:val="22"/>
              <w:szCs w:val="22"/>
              <w:lang w:val="es-ES_tradnl"/>
            </w:rPr>
          </w:pPr>
          <w:r>
            <w:rPr>
              <w:rFonts w:ascii="Palatino Linotype" w:hAnsi="Palatino Linotype"/>
              <w:b/>
              <w:sz w:val="22"/>
              <w:szCs w:val="22"/>
              <w:lang w:val="es-ES_tradnl"/>
            </w:rPr>
            <w:t>Ayuntamiento del Melchor Ocampo</w:t>
          </w:r>
        </w:p>
      </w:tc>
    </w:tr>
    <w:tr w:rsidR="008916F8" w14:paraId="2D6C630E" w14:textId="77777777" w:rsidTr="004C33BE">
      <w:tc>
        <w:tcPr>
          <w:tcW w:w="2694" w:type="dxa"/>
          <w:vAlign w:val="center"/>
          <w:hideMark/>
        </w:tcPr>
        <w:p w14:paraId="5BD4C6DB" w14:textId="656677ED" w:rsidR="008916F8" w:rsidRDefault="008916F8"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827" w:type="dxa"/>
          <w:vAlign w:val="center"/>
          <w:hideMark/>
        </w:tcPr>
        <w:p w14:paraId="0CDDA0BE" w14:textId="7378CBC0" w:rsidR="008916F8" w:rsidRDefault="008916F8"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8916F8" w:rsidRDefault="008916F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D1B8E"/>
    <w:multiLevelType w:val="hybridMultilevel"/>
    <w:tmpl w:val="8578E8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8067A42"/>
    <w:multiLevelType w:val="hybridMultilevel"/>
    <w:tmpl w:val="46384FE6"/>
    <w:lvl w:ilvl="0" w:tplc="085AE34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32205E"/>
    <w:multiLevelType w:val="hybridMultilevel"/>
    <w:tmpl w:val="F5545A9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nsid w:val="11E3663B"/>
    <w:multiLevelType w:val="hybridMultilevel"/>
    <w:tmpl w:val="7B18D5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321F1118"/>
    <w:multiLevelType w:val="hybridMultilevel"/>
    <w:tmpl w:val="0820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DA670B"/>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FEA2B22"/>
    <w:multiLevelType w:val="hybridMultilevel"/>
    <w:tmpl w:val="EEA250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67B255E"/>
    <w:multiLevelType w:val="hybridMultilevel"/>
    <w:tmpl w:val="C1F0BE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56E31607"/>
    <w:multiLevelType w:val="hybridMultilevel"/>
    <w:tmpl w:val="61567DE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2232817"/>
    <w:multiLevelType w:val="multilevel"/>
    <w:tmpl w:val="7842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nsid w:val="76B66901"/>
    <w:multiLevelType w:val="hybridMultilevel"/>
    <w:tmpl w:val="545E0A04"/>
    <w:lvl w:ilvl="0" w:tplc="81C60DD0">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0">
    <w:nsid w:val="7F1A5534"/>
    <w:multiLevelType w:val="hybridMultilevel"/>
    <w:tmpl w:val="D55C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7"/>
  </w:num>
  <w:num w:numId="4">
    <w:abstractNumId w:val="18"/>
  </w:num>
  <w:num w:numId="5">
    <w:abstractNumId w:val="4"/>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3"/>
  </w:num>
  <w:num w:numId="11">
    <w:abstractNumId w:val="0"/>
  </w:num>
  <w:num w:numId="12">
    <w:abstractNumId w:val="8"/>
  </w:num>
  <w:num w:numId="13">
    <w:abstractNumId w:val="2"/>
  </w:num>
  <w:num w:numId="14">
    <w:abstractNumId w:val="10"/>
  </w:num>
  <w:num w:numId="15">
    <w:abstractNumId w:val="6"/>
  </w:num>
  <w:num w:numId="16">
    <w:abstractNumId w:val="14"/>
  </w:num>
  <w:num w:numId="17">
    <w:abstractNumId w:val="20"/>
  </w:num>
  <w:num w:numId="18">
    <w:abstractNumId w:val="15"/>
  </w:num>
  <w:num w:numId="19">
    <w:abstractNumId w:val="19"/>
  </w:num>
  <w:num w:numId="20">
    <w:abstractNumId w:val="12"/>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564B"/>
    <w:rsid w:val="0001033C"/>
    <w:rsid w:val="00011E5E"/>
    <w:rsid w:val="00012C3B"/>
    <w:rsid w:val="000163E2"/>
    <w:rsid w:val="00017949"/>
    <w:rsid w:val="00017DF0"/>
    <w:rsid w:val="00023AD2"/>
    <w:rsid w:val="00025F2D"/>
    <w:rsid w:val="00033751"/>
    <w:rsid w:val="000354B7"/>
    <w:rsid w:val="000510A8"/>
    <w:rsid w:val="00052D38"/>
    <w:rsid w:val="000534A1"/>
    <w:rsid w:val="000553C0"/>
    <w:rsid w:val="00056B92"/>
    <w:rsid w:val="000576B5"/>
    <w:rsid w:val="00057A30"/>
    <w:rsid w:val="00057DB2"/>
    <w:rsid w:val="00060443"/>
    <w:rsid w:val="00065735"/>
    <w:rsid w:val="00065D53"/>
    <w:rsid w:val="00072745"/>
    <w:rsid w:val="00074B1D"/>
    <w:rsid w:val="00077373"/>
    <w:rsid w:val="0008369C"/>
    <w:rsid w:val="00083DBF"/>
    <w:rsid w:val="0008542A"/>
    <w:rsid w:val="00087A2F"/>
    <w:rsid w:val="00087F53"/>
    <w:rsid w:val="000A08C8"/>
    <w:rsid w:val="000A297C"/>
    <w:rsid w:val="000A6E93"/>
    <w:rsid w:val="000B0C88"/>
    <w:rsid w:val="000B30DE"/>
    <w:rsid w:val="000B3FFD"/>
    <w:rsid w:val="000B5BBF"/>
    <w:rsid w:val="000C4453"/>
    <w:rsid w:val="000C5510"/>
    <w:rsid w:val="000D79C6"/>
    <w:rsid w:val="000E0A35"/>
    <w:rsid w:val="000E538E"/>
    <w:rsid w:val="001019E0"/>
    <w:rsid w:val="001135A2"/>
    <w:rsid w:val="00113E57"/>
    <w:rsid w:val="0011571E"/>
    <w:rsid w:val="001207A1"/>
    <w:rsid w:val="0012737D"/>
    <w:rsid w:val="00130D55"/>
    <w:rsid w:val="001338B7"/>
    <w:rsid w:val="001363CF"/>
    <w:rsid w:val="001442D0"/>
    <w:rsid w:val="001451D4"/>
    <w:rsid w:val="00146DE9"/>
    <w:rsid w:val="0014798B"/>
    <w:rsid w:val="00151D15"/>
    <w:rsid w:val="00153D5D"/>
    <w:rsid w:val="00154055"/>
    <w:rsid w:val="001665F3"/>
    <w:rsid w:val="00170A94"/>
    <w:rsid w:val="00177C54"/>
    <w:rsid w:val="00180FAC"/>
    <w:rsid w:val="00183418"/>
    <w:rsid w:val="00185C15"/>
    <w:rsid w:val="001903DF"/>
    <w:rsid w:val="001949E9"/>
    <w:rsid w:val="00195AA6"/>
    <w:rsid w:val="001A48DA"/>
    <w:rsid w:val="001A7365"/>
    <w:rsid w:val="001B0EB1"/>
    <w:rsid w:val="001B2B30"/>
    <w:rsid w:val="001B3B81"/>
    <w:rsid w:val="001B4A74"/>
    <w:rsid w:val="001B7ED4"/>
    <w:rsid w:val="001C4004"/>
    <w:rsid w:val="001C69EF"/>
    <w:rsid w:val="001D3DA7"/>
    <w:rsid w:val="001E1037"/>
    <w:rsid w:val="001F1730"/>
    <w:rsid w:val="001F1C2A"/>
    <w:rsid w:val="001F5AB6"/>
    <w:rsid w:val="002035A8"/>
    <w:rsid w:val="00205E97"/>
    <w:rsid w:val="002105D7"/>
    <w:rsid w:val="00212091"/>
    <w:rsid w:val="00214089"/>
    <w:rsid w:val="002164C1"/>
    <w:rsid w:val="00216812"/>
    <w:rsid w:val="00217331"/>
    <w:rsid w:val="002173C8"/>
    <w:rsid w:val="00220958"/>
    <w:rsid w:val="002257C9"/>
    <w:rsid w:val="00231A75"/>
    <w:rsid w:val="0023264F"/>
    <w:rsid w:val="00234A9A"/>
    <w:rsid w:val="002402C4"/>
    <w:rsid w:val="002418B4"/>
    <w:rsid w:val="00241AF5"/>
    <w:rsid w:val="00251239"/>
    <w:rsid w:val="00251B17"/>
    <w:rsid w:val="0026202F"/>
    <w:rsid w:val="0026408D"/>
    <w:rsid w:val="002657F7"/>
    <w:rsid w:val="00266E56"/>
    <w:rsid w:val="00271499"/>
    <w:rsid w:val="00274C14"/>
    <w:rsid w:val="00277E49"/>
    <w:rsid w:val="00286A8D"/>
    <w:rsid w:val="00295FE3"/>
    <w:rsid w:val="002969D8"/>
    <w:rsid w:val="0029795A"/>
    <w:rsid w:val="002B1842"/>
    <w:rsid w:val="002B58AE"/>
    <w:rsid w:val="002C00C9"/>
    <w:rsid w:val="002C2FF0"/>
    <w:rsid w:val="002C3452"/>
    <w:rsid w:val="002C6154"/>
    <w:rsid w:val="002C6664"/>
    <w:rsid w:val="002D09B9"/>
    <w:rsid w:val="002D1AF4"/>
    <w:rsid w:val="002E0FE3"/>
    <w:rsid w:val="002F12C7"/>
    <w:rsid w:val="003034D0"/>
    <w:rsid w:val="00303AA4"/>
    <w:rsid w:val="003041F3"/>
    <w:rsid w:val="0030529F"/>
    <w:rsid w:val="00307F9F"/>
    <w:rsid w:val="00312EFC"/>
    <w:rsid w:val="003147B0"/>
    <w:rsid w:val="00314C57"/>
    <w:rsid w:val="0031526D"/>
    <w:rsid w:val="0032063B"/>
    <w:rsid w:val="00321C33"/>
    <w:rsid w:val="003242A1"/>
    <w:rsid w:val="00325AB5"/>
    <w:rsid w:val="00334C6F"/>
    <w:rsid w:val="00342042"/>
    <w:rsid w:val="00353A17"/>
    <w:rsid w:val="00354C54"/>
    <w:rsid w:val="0035790D"/>
    <w:rsid w:val="00362819"/>
    <w:rsid w:val="00367C07"/>
    <w:rsid w:val="00373004"/>
    <w:rsid w:val="00376D74"/>
    <w:rsid w:val="00385D0E"/>
    <w:rsid w:val="00387CDA"/>
    <w:rsid w:val="003909EE"/>
    <w:rsid w:val="00397DD5"/>
    <w:rsid w:val="003A5BBD"/>
    <w:rsid w:val="003A5CCD"/>
    <w:rsid w:val="003B2085"/>
    <w:rsid w:val="003B47EC"/>
    <w:rsid w:val="003D38B9"/>
    <w:rsid w:val="003E34EE"/>
    <w:rsid w:val="003E4072"/>
    <w:rsid w:val="003E63C1"/>
    <w:rsid w:val="003E6686"/>
    <w:rsid w:val="003E6D4E"/>
    <w:rsid w:val="003F07A9"/>
    <w:rsid w:val="0040397E"/>
    <w:rsid w:val="0040647B"/>
    <w:rsid w:val="004072E6"/>
    <w:rsid w:val="00412023"/>
    <w:rsid w:val="004157C3"/>
    <w:rsid w:val="0041699D"/>
    <w:rsid w:val="004210D8"/>
    <w:rsid w:val="0042623E"/>
    <w:rsid w:val="004263EA"/>
    <w:rsid w:val="004348CE"/>
    <w:rsid w:val="00437884"/>
    <w:rsid w:val="004429D9"/>
    <w:rsid w:val="0044547C"/>
    <w:rsid w:val="004509FD"/>
    <w:rsid w:val="004515B0"/>
    <w:rsid w:val="0045451A"/>
    <w:rsid w:val="004575F7"/>
    <w:rsid w:val="00465C12"/>
    <w:rsid w:val="00472B24"/>
    <w:rsid w:val="00476AE6"/>
    <w:rsid w:val="004773D4"/>
    <w:rsid w:val="00477D9A"/>
    <w:rsid w:val="004806BA"/>
    <w:rsid w:val="004835E2"/>
    <w:rsid w:val="004848E1"/>
    <w:rsid w:val="00484DE9"/>
    <w:rsid w:val="00487F15"/>
    <w:rsid w:val="0049281D"/>
    <w:rsid w:val="004952DF"/>
    <w:rsid w:val="004959AA"/>
    <w:rsid w:val="004A03D9"/>
    <w:rsid w:val="004A16A1"/>
    <w:rsid w:val="004A32A1"/>
    <w:rsid w:val="004A4D7F"/>
    <w:rsid w:val="004B260C"/>
    <w:rsid w:val="004B491B"/>
    <w:rsid w:val="004B601A"/>
    <w:rsid w:val="004B7CE0"/>
    <w:rsid w:val="004C109A"/>
    <w:rsid w:val="004C2F69"/>
    <w:rsid w:val="004C33BE"/>
    <w:rsid w:val="004C52C0"/>
    <w:rsid w:val="004D0A26"/>
    <w:rsid w:val="004D44CD"/>
    <w:rsid w:val="004D5241"/>
    <w:rsid w:val="004D6294"/>
    <w:rsid w:val="004E3DA2"/>
    <w:rsid w:val="004E4985"/>
    <w:rsid w:val="004E7EEB"/>
    <w:rsid w:val="004F015B"/>
    <w:rsid w:val="004F3876"/>
    <w:rsid w:val="004F712A"/>
    <w:rsid w:val="005033A4"/>
    <w:rsid w:val="00504629"/>
    <w:rsid w:val="00504D33"/>
    <w:rsid w:val="005106D8"/>
    <w:rsid w:val="0051207A"/>
    <w:rsid w:val="005217C9"/>
    <w:rsid w:val="0053491B"/>
    <w:rsid w:val="00535739"/>
    <w:rsid w:val="0054006F"/>
    <w:rsid w:val="0054132E"/>
    <w:rsid w:val="00541DB4"/>
    <w:rsid w:val="00545A4E"/>
    <w:rsid w:val="00550CE9"/>
    <w:rsid w:val="00556D49"/>
    <w:rsid w:val="00561DB1"/>
    <w:rsid w:val="00567F67"/>
    <w:rsid w:val="00573670"/>
    <w:rsid w:val="00573B37"/>
    <w:rsid w:val="0057532C"/>
    <w:rsid w:val="005755F5"/>
    <w:rsid w:val="00576797"/>
    <w:rsid w:val="00581CD6"/>
    <w:rsid w:val="0058763A"/>
    <w:rsid w:val="005913AE"/>
    <w:rsid w:val="005937AE"/>
    <w:rsid w:val="00593ED7"/>
    <w:rsid w:val="005941BD"/>
    <w:rsid w:val="00596E80"/>
    <w:rsid w:val="005A2277"/>
    <w:rsid w:val="005A613E"/>
    <w:rsid w:val="005A654A"/>
    <w:rsid w:val="005A7979"/>
    <w:rsid w:val="005B672D"/>
    <w:rsid w:val="005C1038"/>
    <w:rsid w:val="005C3478"/>
    <w:rsid w:val="005C3AC2"/>
    <w:rsid w:val="005D119F"/>
    <w:rsid w:val="005D243F"/>
    <w:rsid w:val="005D7A24"/>
    <w:rsid w:val="005E292A"/>
    <w:rsid w:val="005E3430"/>
    <w:rsid w:val="005F218B"/>
    <w:rsid w:val="005F2795"/>
    <w:rsid w:val="005F386C"/>
    <w:rsid w:val="005F48BE"/>
    <w:rsid w:val="005F4F5C"/>
    <w:rsid w:val="00600018"/>
    <w:rsid w:val="00603C31"/>
    <w:rsid w:val="00603F6D"/>
    <w:rsid w:val="00604BDB"/>
    <w:rsid w:val="0060734B"/>
    <w:rsid w:val="00607619"/>
    <w:rsid w:val="006104FA"/>
    <w:rsid w:val="00610DBC"/>
    <w:rsid w:val="00615135"/>
    <w:rsid w:val="00620675"/>
    <w:rsid w:val="00623957"/>
    <w:rsid w:val="00624C3D"/>
    <w:rsid w:val="006275DD"/>
    <w:rsid w:val="00634485"/>
    <w:rsid w:val="006366CA"/>
    <w:rsid w:val="006429C9"/>
    <w:rsid w:val="006457A6"/>
    <w:rsid w:val="00650446"/>
    <w:rsid w:val="00650B6E"/>
    <w:rsid w:val="00651855"/>
    <w:rsid w:val="00663281"/>
    <w:rsid w:val="00664A68"/>
    <w:rsid w:val="00667FEF"/>
    <w:rsid w:val="0067208A"/>
    <w:rsid w:val="006727CB"/>
    <w:rsid w:val="00682EFD"/>
    <w:rsid w:val="00683AEA"/>
    <w:rsid w:val="00686A8A"/>
    <w:rsid w:val="00691FB8"/>
    <w:rsid w:val="00691FC5"/>
    <w:rsid w:val="00692DE5"/>
    <w:rsid w:val="00694BD6"/>
    <w:rsid w:val="006A005B"/>
    <w:rsid w:val="006A3CAD"/>
    <w:rsid w:val="006A4B4C"/>
    <w:rsid w:val="006A559E"/>
    <w:rsid w:val="006A64B7"/>
    <w:rsid w:val="006A76CA"/>
    <w:rsid w:val="006B36F2"/>
    <w:rsid w:val="006B386F"/>
    <w:rsid w:val="006C0805"/>
    <w:rsid w:val="006D01E9"/>
    <w:rsid w:val="006D11B2"/>
    <w:rsid w:val="006D41F1"/>
    <w:rsid w:val="006E1358"/>
    <w:rsid w:val="006E14A0"/>
    <w:rsid w:val="006E5550"/>
    <w:rsid w:val="006E6389"/>
    <w:rsid w:val="006F1D2A"/>
    <w:rsid w:val="006F30F8"/>
    <w:rsid w:val="0070126D"/>
    <w:rsid w:val="00703529"/>
    <w:rsid w:val="007066D9"/>
    <w:rsid w:val="00707C30"/>
    <w:rsid w:val="00707C7E"/>
    <w:rsid w:val="00713789"/>
    <w:rsid w:val="0071390A"/>
    <w:rsid w:val="00716230"/>
    <w:rsid w:val="00721CFB"/>
    <w:rsid w:val="007222E4"/>
    <w:rsid w:val="00723CBA"/>
    <w:rsid w:val="00724184"/>
    <w:rsid w:val="007261D7"/>
    <w:rsid w:val="00735701"/>
    <w:rsid w:val="00735E7C"/>
    <w:rsid w:val="007360D1"/>
    <w:rsid w:val="00736C06"/>
    <w:rsid w:val="007414E9"/>
    <w:rsid w:val="0074203F"/>
    <w:rsid w:val="0074367D"/>
    <w:rsid w:val="00744B8F"/>
    <w:rsid w:val="007614BA"/>
    <w:rsid w:val="007639A4"/>
    <w:rsid w:val="00764096"/>
    <w:rsid w:val="0077203A"/>
    <w:rsid w:val="00774D03"/>
    <w:rsid w:val="007757FD"/>
    <w:rsid w:val="00783347"/>
    <w:rsid w:val="007853B8"/>
    <w:rsid w:val="00793EA5"/>
    <w:rsid w:val="00796313"/>
    <w:rsid w:val="007A22F5"/>
    <w:rsid w:val="007A291E"/>
    <w:rsid w:val="007A5F4D"/>
    <w:rsid w:val="007C1C4D"/>
    <w:rsid w:val="007C2F0A"/>
    <w:rsid w:val="007C3859"/>
    <w:rsid w:val="007D313D"/>
    <w:rsid w:val="007D469C"/>
    <w:rsid w:val="007D4DF2"/>
    <w:rsid w:val="007F10CD"/>
    <w:rsid w:val="007F1DF6"/>
    <w:rsid w:val="007F3931"/>
    <w:rsid w:val="007F528B"/>
    <w:rsid w:val="00800C80"/>
    <w:rsid w:val="00801A74"/>
    <w:rsid w:val="0080255A"/>
    <w:rsid w:val="008037D7"/>
    <w:rsid w:val="008044F4"/>
    <w:rsid w:val="00816040"/>
    <w:rsid w:val="0082702D"/>
    <w:rsid w:val="008331EF"/>
    <w:rsid w:val="00833A00"/>
    <w:rsid w:val="00840825"/>
    <w:rsid w:val="00842458"/>
    <w:rsid w:val="00846766"/>
    <w:rsid w:val="008472F4"/>
    <w:rsid w:val="00856E09"/>
    <w:rsid w:val="00860CDB"/>
    <w:rsid w:val="00860F7D"/>
    <w:rsid w:val="008718F3"/>
    <w:rsid w:val="00872469"/>
    <w:rsid w:val="00874B5A"/>
    <w:rsid w:val="00875490"/>
    <w:rsid w:val="0088209E"/>
    <w:rsid w:val="0088438A"/>
    <w:rsid w:val="008900BC"/>
    <w:rsid w:val="008916F8"/>
    <w:rsid w:val="00892AFC"/>
    <w:rsid w:val="008A1111"/>
    <w:rsid w:val="008A5B69"/>
    <w:rsid w:val="008B40A0"/>
    <w:rsid w:val="008B7597"/>
    <w:rsid w:val="008C1B82"/>
    <w:rsid w:val="008C26B9"/>
    <w:rsid w:val="008C4988"/>
    <w:rsid w:val="008D1526"/>
    <w:rsid w:val="008D34FD"/>
    <w:rsid w:val="008D50F6"/>
    <w:rsid w:val="008E6D3C"/>
    <w:rsid w:val="008F0E11"/>
    <w:rsid w:val="008F22B8"/>
    <w:rsid w:val="008F47E3"/>
    <w:rsid w:val="009003EF"/>
    <w:rsid w:val="009031DC"/>
    <w:rsid w:val="009034AE"/>
    <w:rsid w:val="009039DA"/>
    <w:rsid w:val="00904450"/>
    <w:rsid w:val="00905338"/>
    <w:rsid w:val="009158C1"/>
    <w:rsid w:val="00920219"/>
    <w:rsid w:val="009268DE"/>
    <w:rsid w:val="00933EC0"/>
    <w:rsid w:val="0093429E"/>
    <w:rsid w:val="00935A0D"/>
    <w:rsid w:val="00935C5E"/>
    <w:rsid w:val="009408EA"/>
    <w:rsid w:val="00943162"/>
    <w:rsid w:val="00944CA2"/>
    <w:rsid w:val="009455DD"/>
    <w:rsid w:val="00945905"/>
    <w:rsid w:val="009470D1"/>
    <w:rsid w:val="009477CE"/>
    <w:rsid w:val="0094784F"/>
    <w:rsid w:val="00950765"/>
    <w:rsid w:val="009513F6"/>
    <w:rsid w:val="00953A83"/>
    <w:rsid w:val="00962213"/>
    <w:rsid w:val="0096226F"/>
    <w:rsid w:val="00964386"/>
    <w:rsid w:val="00965291"/>
    <w:rsid w:val="00966D38"/>
    <w:rsid w:val="009670F2"/>
    <w:rsid w:val="00967B74"/>
    <w:rsid w:val="00971E94"/>
    <w:rsid w:val="00974E0D"/>
    <w:rsid w:val="009752C3"/>
    <w:rsid w:val="00975EB9"/>
    <w:rsid w:val="00977C97"/>
    <w:rsid w:val="00980B9F"/>
    <w:rsid w:val="00990A59"/>
    <w:rsid w:val="00990C48"/>
    <w:rsid w:val="00992EE9"/>
    <w:rsid w:val="009B26BE"/>
    <w:rsid w:val="009B3C2E"/>
    <w:rsid w:val="009B5A16"/>
    <w:rsid w:val="009C7BB8"/>
    <w:rsid w:val="009C7E07"/>
    <w:rsid w:val="009D20D6"/>
    <w:rsid w:val="009D37D9"/>
    <w:rsid w:val="009D4854"/>
    <w:rsid w:val="009D4E33"/>
    <w:rsid w:val="009D5B53"/>
    <w:rsid w:val="009E4703"/>
    <w:rsid w:val="009E5176"/>
    <w:rsid w:val="009E6252"/>
    <w:rsid w:val="009E73AC"/>
    <w:rsid w:val="009E75D1"/>
    <w:rsid w:val="009F1BDC"/>
    <w:rsid w:val="009F4348"/>
    <w:rsid w:val="009F4525"/>
    <w:rsid w:val="009F7402"/>
    <w:rsid w:val="00A00122"/>
    <w:rsid w:val="00A003CA"/>
    <w:rsid w:val="00A010BF"/>
    <w:rsid w:val="00A17355"/>
    <w:rsid w:val="00A24684"/>
    <w:rsid w:val="00A34CB7"/>
    <w:rsid w:val="00A3567B"/>
    <w:rsid w:val="00A36408"/>
    <w:rsid w:val="00A37080"/>
    <w:rsid w:val="00A4356F"/>
    <w:rsid w:val="00A44F15"/>
    <w:rsid w:val="00A51E8B"/>
    <w:rsid w:val="00A52459"/>
    <w:rsid w:val="00A64FD5"/>
    <w:rsid w:val="00A744F3"/>
    <w:rsid w:val="00A7765D"/>
    <w:rsid w:val="00A809B7"/>
    <w:rsid w:val="00A81140"/>
    <w:rsid w:val="00A83958"/>
    <w:rsid w:val="00A84E25"/>
    <w:rsid w:val="00A85D0C"/>
    <w:rsid w:val="00A86739"/>
    <w:rsid w:val="00A97ACB"/>
    <w:rsid w:val="00A97DE7"/>
    <w:rsid w:val="00AA13D2"/>
    <w:rsid w:val="00AA5382"/>
    <w:rsid w:val="00AA62C4"/>
    <w:rsid w:val="00AB757B"/>
    <w:rsid w:val="00AB7E65"/>
    <w:rsid w:val="00AC1DF7"/>
    <w:rsid w:val="00AC5B31"/>
    <w:rsid w:val="00AC6069"/>
    <w:rsid w:val="00AD07BA"/>
    <w:rsid w:val="00AD2F37"/>
    <w:rsid w:val="00AD6FF1"/>
    <w:rsid w:val="00AE0B24"/>
    <w:rsid w:val="00AE2930"/>
    <w:rsid w:val="00AF0503"/>
    <w:rsid w:val="00AF1084"/>
    <w:rsid w:val="00AF1113"/>
    <w:rsid w:val="00B032E6"/>
    <w:rsid w:val="00B127F8"/>
    <w:rsid w:val="00B16451"/>
    <w:rsid w:val="00B21DDD"/>
    <w:rsid w:val="00B22C70"/>
    <w:rsid w:val="00B27455"/>
    <w:rsid w:val="00B313F3"/>
    <w:rsid w:val="00B3446C"/>
    <w:rsid w:val="00B3587A"/>
    <w:rsid w:val="00B35E85"/>
    <w:rsid w:val="00B41360"/>
    <w:rsid w:val="00B52A01"/>
    <w:rsid w:val="00B55C51"/>
    <w:rsid w:val="00B5682F"/>
    <w:rsid w:val="00B60EC8"/>
    <w:rsid w:val="00B61D04"/>
    <w:rsid w:val="00B62FE5"/>
    <w:rsid w:val="00B72F90"/>
    <w:rsid w:val="00B8099A"/>
    <w:rsid w:val="00B81188"/>
    <w:rsid w:val="00B878A0"/>
    <w:rsid w:val="00B931C7"/>
    <w:rsid w:val="00BA5C86"/>
    <w:rsid w:val="00BA5D77"/>
    <w:rsid w:val="00BA7E4D"/>
    <w:rsid w:val="00BB0770"/>
    <w:rsid w:val="00BC309B"/>
    <w:rsid w:val="00BC3FF4"/>
    <w:rsid w:val="00BC57BD"/>
    <w:rsid w:val="00BC6B3D"/>
    <w:rsid w:val="00BC6B6B"/>
    <w:rsid w:val="00BD49BC"/>
    <w:rsid w:val="00BD7483"/>
    <w:rsid w:val="00BD7BEC"/>
    <w:rsid w:val="00BE0A35"/>
    <w:rsid w:val="00BE16A5"/>
    <w:rsid w:val="00BE27A2"/>
    <w:rsid w:val="00BE7B85"/>
    <w:rsid w:val="00BF23BF"/>
    <w:rsid w:val="00BF461A"/>
    <w:rsid w:val="00BF5810"/>
    <w:rsid w:val="00BF7463"/>
    <w:rsid w:val="00C04E6A"/>
    <w:rsid w:val="00C05015"/>
    <w:rsid w:val="00C054F8"/>
    <w:rsid w:val="00C105D7"/>
    <w:rsid w:val="00C12614"/>
    <w:rsid w:val="00C137C5"/>
    <w:rsid w:val="00C1582F"/>
    <w:rsid w:val="00C21F37"/>
    <w:rsid w:val="00C23E01"/>
    <w:rsid w:val="00C240DC"/>
    <w:rsid w:val="00C2750E"/>
    <w:rsid w:val="00C304E6"/>
    <w:rsid w:val="00C325CB"/>
    <w:rsid w:val="00C37C07"/>
    <w:rsid w:val="00C45B85"/>
    <w:rsid w:val="00C47D1B"/>
    <w:rsid w:val="00C503FF"/>
    <w:rsid w:val="00C51EB3"/>
    <w:rsid w:val="00C52589"/>
    <w:rsid w:val="00C54432"/>
    <w:rsid w:val="00C57934"/>
    <w:rsid w:val="00C60714"/>
    <w:rsid w:val="00C630E9"/>
    <w:rsid w:val="00C642C6"/>
    <w:rsid w:val="00C657AA"/>
    <w:rsid w:val="00C65AE1"/>
    <w:rsid w:val="00C6606E"/>
    <w:rsid w:val="00C72646"/>
    <w:rsid w:val="00C73050"/>
    <w:rsid w:val="00C732A3"/>
    <w:rsid w:val="00C76B62"/>
    <w:rsid w:val="00C80F8C"/>
    <w:rsid w:val="00C8116D"/>
    <w:rsid w:val="00C827F0"/>
    <w:rsid w:val="00C90E6C"/>
    <w:rsid w:val="00C93B72"/>
    <w:rsid w:val="00C93D44"/>
    <w:rsid w:val="00C93DE8"/>
    <w:rsid w:val="00C94353"/>
    <w:rsid w:val="00C94EA7"/>
    <w:rsid w:val="00CA3FF0"/>
    <w:rsid w:val="00CB14DC"/>
    <w:rsid w:val="00CB6538"/>
    <w:rsid w:val="00CB7A37"/>
    <w:rsid w:val="00CE092E"/>
    <w:rsid w:val="00CE0AAC"/>
    <w:rsid w:val="00CE5A02"/>
    <w:rsid w:val="00CE70EC"/>
    <w:rsid w:val="00CF7E90"/>
    <w:rsid w:val="00D009B0"/>
    <w:rsid w:val="00D00B16"/>
    <w:rsid w:val="00D02553"/>
    <w:rsid w:val="00D06C4C"/>
    <w:rsid w:val="00D07E57"/>
    <w:rsid w:val="00D10C74"/>
    <w:rsid w:val="00D14736"/>
    <w:rsid w:val="00D1729F"/>
    <w:rsid w:val="00D266AF"/>
    <w:rsid w:val="00D303BD"/>
    <w:rsid w:val="00D40348"/>
    <w:rsid w:val="00D4315D"/>
    <w:rsid w:val="00D44D22"/>
    <w:rsid w:val="00D51EA4"/>
    <w:rsid w:val="00D55A49"/>
    <w:rsid w:val="00D55A77"/>
    <w:rsid w:val="00D56842"/>
    <w:rsid w:val="00D649BF"/>
    <w:rsid w:val="00D733BA"/>
    <w:rsid w:val="00D73F0C"/>
    <w:rsid w:val="00D74A00"/>
    <w:rsid w:val="00D830F7"/>
    <w:rsid w:val="00D87E63"/>
    <w:rsid w:val="00D90153"/>
    <w:rsid w:val="00DA2E8A"/>
    <w:rsid w:val="00DA3C6B"/>
    <w:rsid w:val="00DA57EB"/>
    <w:rsid w:val="00DA669F"/>
    <w:rsid w:val="00DA7ADC"/>
    <w:rsid w:val="00DB2831"/>
    <w:rsid w:val="00DC2145"/>
    <w:rsid w:val="00DC74EC"/>
    <w:rsid w:val="00DC7AD1"/>
    <w:rsid w:val="00DD1B8B"/>
    <w:rsid w:val="00DD43B7"/>
    <w:rsid w:val="00DE0BC1"/>
    <w:rsid w:val="00DE0EAA"/>
    <w:rsid w:val="00DE4EE6"/>
    <w:rsid w:val="00DF270A"/>
    <w:rsid w:val="00DF77A5"/>
    <w:rsid w:val="00E0735B"/>
    <w:rsid w:val="00E13A75"/>
    <w:rsid w:val="00E176E6"/>
    <w:rsid w:val="00E23591"/>
    <w:rsid w:val="00E235A5"/>
    <w:rsid w:val="00E24F8A"/>
    <w:rsid w:val="00E371A1"/>
    <w:rsid w:val="00E3735E"/>
    <w:rsid w:val="00E3742C"/>
    <w:rsid w:val="00E40E2E"/>
    <w:rsid w:val="00E4553A"/>
    <w:rsid w:val="00E4563E"/>
    <w:rsid w:val="00E460CE"/>
    <w:rsid w:val="00E476A8"/>
    <w:rsid w:val="00E53B08"/>
    <w:rsid w:val="00E5797A"/>
    <w:rsid w:val="00E64CD9"/>
    <w:rsid w:val="00E67D31"/>
    <w:rsid w:val="00E721DB"/>
    <w:rsid w:val="00E730F1"/>
    <w:rsid w:val="00E73BE5"/>
    <w:rsid w:val="00E76860"/>
    <w:rsid w:val="00E81F5B"/>
    <w:rsid w:val="00E86E4F"/>
    <w:rsid w:val="00E9060B"/>
    <w:rsid w:val="00E92CD3"/>
    <w:rsid w:val="00E95E38"/>
    <w:rsid w:val="00EA0CC0"/>
    <w:rsid w:val="00EA432A"/>
    <w:rsid w:val="00EA73B3"/>
    <w:rsid w:val="00EB0549"/>
    <w:rsid w:val="00EB4969"/>
    <w:rsid w:val="00EC174A"/>
    <w:rsid w:val="00EC18A9"/>
    <w:rsid w:val="00EC1B58"/>
    <w:rsid w:val="00EC2D24"/>
    <w:rsid w:val="00EC320F"/>
    <w:rsid w:val="00EC5BE6"/>
    <w:rsid w:val="00EC5F40"/>
    <w:rsid w:val="00EE061E"/>
    <w:rsid w:val="00EE0D54"/>
    <w:rsid w:val="00EE31D4"/>
    <w:rsid w:val="00EE727F"/>
    <w:rsid w:val="00EF4435"/>
    <w:rsid w:val="00F170D7"/>
    <w:rsid w:val="00F17900"/>
    <w:rsid w:val="00F21574"/>
    <w:rsid w:val="00F23FC5"/>
    <w:rsid w:val="00F30ED0"/>
    <w:rsid w:val="00F317D4"/>
    <w:rsid w:val="00F31A21"/>
    <w:rsid w:val="00F334AB"/>
    <w:rsid w:val="00F37C9D"/>
    <w:rsid w:val="00F40570"/>
    <w:rsid w:val="00F4229C"/>
    <w:rsid w:val="00F42F0F"/>
    <w:rsid w:val="00F6199A"/>
    <w:rsid w:val="00F7079A"/>
    <w:rsid w:val="00F71A15"/>
    <w:rsid w:val="00F758F1"/>
    <w:rsid w:val="00F7640E"/>
    <w:rsid w:val="00F7750F"/>
    <w:rsid w:val="00F83889"/>
    <w:rsid w:val="00F83F4E"/>
    <w:rsid w:val="00F86DC5"/>
    <w:rsid w:val="00F87384"/>
    <w:rsid w:val="00FA2EE6"/>
    <w:rsid w:val="00FA4741"/>
    <w:rsid w:val="00FA62D8"/>
    <w:rsid w:val="00FB1AD3"/>
    <w:rsid w:val="00FB48D6"/>
    <w:rsid w:val="00FB5BDB"/>
    <w:rsid w:val="00FC137D"/>
    <w:rsid w:val="00FC497B"/>
    <w:rsid w:val="00FC6671"/>
    <w:rsid w:val="00FD5AD3"/>
    <w:rsid w:val="00FE647F"/>
    <w:rsid w:val="00FF1088"/>
    <w:rsid w:val="00FF19E2"/>
    <w:rsid w:val="00FF5CA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D4382A90-83A5-4ACB-BBF3-202EDC97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character" w:customStyle="1" w:styleId="red">
    <w:name w:val="red"/>
    <w:basedOn w:val="Fuentedeprrafopredeter"/>
    <w:rsid w:val="00C37C07"/>
  </w:style>
  <w:style w:type="character" w:styleId="Hipervnculovisitado">
    <w:name w:val="FollowedHyperlink"/>
    <w:basedOn w:val="Fuentedeprrafopredeter"/>
    <w:uiPriority w:val="99"/>
    <w:semiHidden/>
    <w:unhideWhenUsed/>
    <w:rsid w:val="008D50F6"/>
    <w:rPr>
      <w:color w:val="800080" w:themeColor="followedHyperlink"/>
      <w:u w:val="single"/>
    </w:rPr>
  </w:style>
  <w:style w:type="paragraph" w:styleId="Textoindependiente">
    <w:name w:val="Body Text"/>
    <w:basedOn w:val="Normal"/>
    <w:link w:val="TextoindependienteCar"/>
    <w:uiPriority w:val="1"/>
    <w:qFormat/>
    <w:rsid w:val="00C45B85"/>
    <w:pPr>
      <w:autoSpaceDE w:val="0"/>
      <w:autoSpaceDN w:val="0"/>
      <w:adjustRightInd w:val="0"/>
      <w:spacing w:before="195"/>
    </w:pPr>
    <w:rPr>
      <w:rFonts w:eastAsiaTheme="minorHAnsi"/>
      <w:sz w:val="25"/>
      <w:szCs w:val="25"/>
      <w:lang w:val="es-MX" w:eastAsia="en-US"/>
    </w:rPr>
  </w:style>
  <w:style w:type="character" w:customStyle="1" w:styleId="TextoindependienteCar">
    <w:name w:val="Texto independiente Car"/>
    <w:basedOn w:val="Fuentedeprrafopredeter"/>
    <w:link w:val="Textoindependiente"/>
    <w:uiPriority w:val="1"/>
    <w:rsid w:val="00C45B85"/>
    <w:rPr>
      <w:rFonts w:ascii="Times New Roman" w:eastAsiaTheme="minorHAnsi" w:hAnsi="Times New Roman" w:cs="Times New Roman"/>
      <w:sz w:val="25"/>
      <w:szCs w:val="25"/>
      <w:lang w:val="es-MX" w:eastAsia="en-US"/>
    </w:rPr>
  </w:style>
  <w:style w:type="paragraph" w:styleId="Bibliografa">
    <w:name w:val="Bibliography"/>
    <w:basedOn w:val="Normal"/>
    <w:next w:val="Normal"/>
    <w:uiPriority w:val="37"/>
    <w:semiHidden/>
    <w:unhideWhenUsed/>
    <w:rsid w:val="00856E09"/>
  </w:style>
  <w:style w:type="paragraph" w:customStyle="1" w:styleId="q">
    <w:name w:val="q"/>
    <w:basedOn w:val="Normal"/>
    <w:rsid w:val="00856E09"/>
    <w:pPr>
      <w:spacing w:before="100" w:beforeAutospacing="1" w:after="100" w:afterAutospacing="1"/>
    </w:pPr>
    <w:rPr>
      <w:lang w:val="es-MX" w:eastAsia="es-MX"/>
    </w:rPr>
  </w:style>
  <w:style w:type="character" w:customStyle="1" w:styleId="d">
    <w:name w:val="d"/>
    <w:basedOn w:val="Fuentedeprrafopredeter"/>
    <w:rsid w:val="00856E09"/>
  </w:style>
  <w:style w:type="character" w:customStyle="1" w:styleId="b">
    <w:name w:val="b"/>
    <w:basedOn w:val="Fuentedeprrafopredeter"/>
    <w:rsid w:val="00856E09"/>
  </w:style>
  <w:style w:type="character" w:customStyle="1" w:styleId="k">
    <w:name w:val="k"/>
    <w:basedOn w:val="Fuentedeprrafopredeter"/>
    <w:rsid w:val="00856E09"/>
  </w:style>
  <w:style w:type="character" w:customStyle="1" w:styleId="h">
    <w:name w:val="h"/>
    <w:basedOn w:val="Fuentedeprrafopredeter"/>
    <w:rsid w:val="00856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42">
      <w:bodyDiv w:val="1"/>
      <w:marLeft w:val="0"/>
      <w:marRight w:val="0"/>
      <w:marTop w:val="0"/>
      <w:marBottom w:val="0"/>
      <w:divBdr>
        <w:top w:val="none" w:sz="0" w:space="0" w:color="auto"/>
        <w:left w:val="none" w:sz="0" w:space="0" w:color="auto"/>
        <w:bottom w:val="none" w:sz="0" w:space="0" w:color="auto"/>
        <w:right w:val="none" w:sz="0" w:space="0" w:color="auto"/>
      </w:divBdr>
    </w:div>
    <w:div w:id="100535429">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077511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6851784">
      <w:bodyDiv w:val="1"/>
      <w:marLeft w:val="0"/>
      <w:marRight w:val="0"/>
      <w:marTop w:val="0"/>
      <w:marBottom w:val="0"/>
      <w:divBdr>
        <w:top w:val="none" w:sz="0" w:space="0" w:color="auto"/>
        <w:left w:val="none" w:sz="0" w:space="0" w:color="auto"/>
        <w:bottom w:val="none" w:sz="0" w:space="0" w:color="auto"/>
        <w:right w:val="none" w:sz="0" w:space="0" w:color="auto"/>
      </w:divBdr>
    </w:div>
    <w:div w:id="443890761">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3647640">
      <w:bodyDiv w:val="1"/>
      <w:marLeft w:val="0"/>
      <w:marRight w:val="0"/>
      <w:marTop w:val="0"/>
      <w:marBottom w:val="0"/>
      <w:divBdr>
        <w:top w:val="none" w:sz="0" w:space="0" w:color="auto"/>
        <w:left w:val="none" w:sz="0" w:space="0" w:color="auto"/>
        <w:bottom w:val="none" w:sz="0" w:space="0" w:color="auto"/>
        <w:right w:val="none" w:sz="0" w:space="0" w:color="auto"/>
      </w:divBdr>
    </w:div>
    <w:div w:id="821238182">
      <w:bodyDiv w:val="1"/>
      <w:marLeft w:val="0"/>
      <w:marRight w:val="0"/>
      <w:marTop w:val="0"/>
      <w:marBottom w:val="0"/>
      <w:divBdr>
        <w:top w:val="none" w:sz="0" w:space="0" w:color="auto"/>
        <w:left w:val="none" w:sz="0" w:space="0" w:color="auto"/>
        <w:bottom w:val="none" w:sz="0" w:space="0" w:color="auto"/>
        <w:right w:val="none" w:sz="0" w:space="0" w:color="auto"/>
      </w:divBdr>
      <w:divsChild>
        <w:div w:id="1264189798">
          <w:marLeft w:val="0"/>
          <w:marRight w:val="0"/>
          <w:marTop w:val="0"/>
          <w:marBottom w:val="0"/>
          <w:divBdr>
            <w:top w:val="none" w:sz="0" w:space="0" w:color="auto"/>
            <w:left w:val="none" w:sz="0" w:space="0" w:color="auto"/>
            <w:bottom w:val="none" w:sz="0" w:space="0" w:color="auto"/>
            <w:right w:val="none" w:sz="0" w:space="0" w:color="auto"/>
          </w:divBdr>
        </w:div>
      </w:divsChild>
    </w:div>
    <w:div w:id="88309906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8236503">
      <w:bodyDiv w:val="1"/>
      <w:marLeft w:val="0"/>
      <w:marRight w:val="0"/>
      <w:marTop w:val="0"/>
      <w:marBottom w:val="0"/>
      <w:divBdr>
        <w:top w:val="none" w:sz="0" w:space="0" w:color="auto"/>
        <w:left w:val="none" w:sz="0" w:space="0" w:color="auto"/>
        <w:bottom w:val="none" w:sz="0" w:space="0" w:color="auto"/>
        <w:right w:val="none" w:sz="0" w:space="0" w:color="auto"/>
      </w:divBdr>
      <w:divsChild>
        <w:div w:id="569776034">
          <w:marLeft w:val="0"/>
          <w:marRight w:val="0"/>
          <w:marTop w:val="0"/>
          <w:marBottom w:val="0"/>
          <w:divBdr>
            <w:top w:val="none" w:sz="0" w:space="0" w:color="auto"/>
            <w:left w:val="none" w:sz="0" w:space="0" w:color="auto"/>
            <w:bottom w:val="none" w:sz="0" w:space="0" w:color="auto"/>
            <w:right w:val="none" w:sz="0" w:space="0" w:color="auto"/>
          </w:divBdr>
        </w:div>
      </w:divsChild>
    </w:div>
    <w:div w:id="1181164018">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8495961">
      <w:bodyDiv w:val="1"/>
      <w:marLeft w:val="0"/>
      <w:marRight w:val="0"/>
      <w:marTop w:val="0"/>
      <w:marBottom w:val="0"/>
      <w:divBdr>
        <w:top w:val="none" w:sz="0" w:space="0" w:color="auto"/>
        <w:left w:val="none" w:sz="0" w:space="0" w:color="auto"/>
        <w:bottom w:val="none" w:sz="0" w:space="0" w:color="auto"/>
        <w:right w:val="none" w:sz="0" w:space="0" w:color="auto"/>
      </w:divBdr>
    </w:div>
    <w:div w:id="1235505825">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40163878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3473711">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6724207">
      <w:bodyDiv w:val="1"/>
      <w:marLeft w:val="0"/>
      <w:marRight w:val="0"/>
      <w:marTop w:val="0"/>
      <w:marBottom w:val="0"/>
      <w:divBdr>
        <w:top w:val="none" w:sz="0" w:space="0" w:color="auto"/>
        <w:left w:val="none" w:sz="0" w:space="0" w:color="auto"/>
        <w:bottom w:val="none" w:sz="0" w:space="0" w:color="auto"/>
        <w:right w:val="none" w:sz="0" w:space="0" w:color="auto"/>
      </w:divBdr>
    </w:div>
    <w:div w:id="1990211991">
      <w:bodyDiv w:val="1"/>
      <w:marLeft w:val="0"/>
      <w:marRight w:val="0"/>
      <w:marTop w:val="0"/>
      <w:marBottom w:val="0"/>
      <w:divBdr>
        <w:top w:val="none" w:sz="0" w:space="0" w:color="auto"/>
        <w:left w:val="none" w:sz="0" w:space="0" w:color="auto"/>
        <w:bottom w:val="none" w:sz="0" w:space="0" w:color="auto"/>
        <w:right w:val="none" w:sz="0" w:space="0" w:color="auto"/>
      </w:divBdr>
    </w:div>
    <w:div w:id="20695241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sfem.gob.mx/04_Normatividad/doc/Normatividad/2017/10_LinInfMenMpales1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5B83F-607D-4E1F-A964-B0B1E97A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10167</Words>
  <Characters>55920</Characters>
  <Application>Microsoft Office Word</Application>
  <DocSecurity>0</DocSecurity>
  <Lines>466</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2018-08-10T00:23:00Z</cp:lastPrinted>
  <dcterms:created xsi:type="dcterms:W3CDTF">2018-10-02T00:46:00Z</dcterms:created>
  <dcterms:modified xsi:type="dcterms:W3CDTF">2018-10-02T00:46:00Z</dcterms:modified>
</cp:coreProperties>
</file>